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00" w:type="dxa"/>
        <w:tblCellSpacing w:w="60" w:type="dxa"/>
        <w:tblInd w:w="130" w:type="dxa"/>
        <w:tblBorders>
          <w:top w:val="nil"/>
          <w:left w:val="nil"/>
          <w:bottom w:val="nil"/>
          <w:right w:val="nil"/>
          <w:insideH w:val="nil"/>
          <w:insideV w:val="nil"/>
        </w:tblBorders>
        <w:shd w:val="clear" w:color="auto" w:fill="E7F0F9"/>
        <w:tblCellMar>
          <w:left w:w="10" w:type="dxa"/>
          <w:right w:w="10" w:type="dxa"/>
        </w:tblCellMar>
        <w:tblLook w:val="04A0" w:firstRow="1" w:lastRow="0" w:firstColumn="1" w:lastColumn="0" w:noHBand="0" w:noVBand="1"/>
      </w:tblPr>
      <w:tblGrid>
        <w:gridCol w:w="2254"/>
        <w:gridCol w:w="6746"/>
      </w:tblGrid>
      <w:tr w:rsidR="00E4472F">
        <w:tblPrEx>
          <w:tblCellMar>
            <w:top w:w="0" w:type="dxa"/>
            <w:bottom w:w="0" w:type="dxa"/>
          </w:tblCellMar>
        </w:tblPrEx>
        <w:trPr>
          <w:tblCellSpacing w:w="60" w:type="dxa"/>
        </w:trPr>
        <w:tc>
          <w:tcPr>
            <w:tcW w:w="1200" w:type="pct"/>
            <w:shd w:val="clear" w:color="auto" w:fill="E7F0F9"/>
          </w:tcPr>
          <w:p w:rsidR="00E4472F" w:rsidRDefault="00000000">
            <w:pPr>
              <w:spacing w:after="0" w:line="240" w:lineRule="auto"/>
            </w:pPr>
            <w:r>
              <w:rPr>
                <w:b/>
              </w:rPr>
              <w:t>RKP broj</w:t>
            </w:r>
          </w:p>
        </w:tc>
        <w:tc>
          <w:tcPr>
            <w:tcW w:w="0" w:type="auto"/>
            <w:shd w:val="clear" w:color="auto" w:fill="E7F0F9"/>
          </w:tcPr>
          <w:p w:rsidR="00E4472F" w:rsidRDefault="00000000">
            <w:pPr>
              <w:spacing w:after="0" w:line="240" w:lineRule="auto"/>
            </w:pPr>
            <w:r>
              <w:t>25968</w:t>
            </w:r>
          </w:p>
        </w:tc>
      </w:tr>
      <w:tr w:rsidR="00E4472F">
        <w:tblPrEx>
          <w:tblCellMar>
            <w:top w:w="0" w:type="dxa"/>
            <w:bottom w:w="0" w:type="dxa"/>
          </w:tblCellMar>
        </w:tblPrEx>
        <w:trPr>
          <w:tblCellSpacing w:w="60" w:type="dxa"/>
        </w:trPr>
        <w:tc>
          <w:tcPr>
            <w:tcW w:w="1200" w:type="pct"/>
            <w:shd w:val="clear" w:color="auto" w:fill="E7F0F9"/>
          </w:tcPr>
          <w:p w:rsidR="00E4472F" w:rsidRDefault="00000000">
            <w:pPr>
              <w:spacing w:after="0" w:line="240" w:lineRule="auto"/>
            </w:pPr>
            <w:r>
              <w:rPr>
                <w:b/>
              </w:rPr>
              <w:t>Naziv obveznika</w:t>
            </w:r>
          </w:p>
        </w:tc>
        <w:tc>
          <w:tcPr>
            <w:tcW w:w="0" w:type="auto"/>
            <w:shd w:val="clear" w:color="auto" w:fill="E7F0F9"/>
          </w:tcPr>
          <w:p w:rsidR="00E4472F" w:rsidRDefault="00000000">
            <w:pPr>
              <w:spacing w:after="0" w:line="240" w:lineRule="auto"/>
            </w:pPr>
            <w:r>
              <w:t>KLINIČKA BOLNICA SVETI DUH</w:t>
            </w:r>
          </w:p>
        </w:tc>
      </w:tr>
      <w:tr w:rsidR="00E4472F">
        <w:tblPrEx>
          <w:tblCellMar>
            <w:top w:w="0" w:type="dxa"/>
            <w:bottom w:w="0" w:type="dxa"/>
          </w:tblCellMar>
        </w:tblPrEx>
        <w:trPr>
          <w:tblCellSpacing w:w="60" w:type="dxa"/>
        </w:trPr>
        <w:tc>
          <w:tcPr>
            <w:tcW w:w="1200" w:type="pct"/>
            <w:shd w:val="clear" w:color="auto" w:fill="E7F0F9"/>
          </w:tcPr>
          <w:p w:rsidR="00E4472F" w:rsidRDefault="00000000">
            <w:pPr>
              <w:spacing w:after="0" w:line="240" w:lineRule="auto"/>
            </w:pPr>
            <w:r>
              <w:rPr>
                <w:b/>
              </w:rPr>
              <w:t>Razina</w:t>
            </w:r>
          </w:p>
        </w:tc>
        <w:tc>
          <w:tcPr>
            <w:tcW w:w="0" w:type="auto"/>
            <w:shd w:val="clear" w:color="auto" w:fill="E7F0F9"/>
          </w:tcPr>
          <w:p w:rsidR="00E4472F" w:rsidRDefault="00000000">
            <w:pPr>
              <w:spacing w:after="0" w:line="240" w:lineRule="auto"/>
            </w:pPr>
            <w:r>
              <w:t>11</w:t>
            </w:r>
          </w:p>
        </w:tc>
      </w:tr>
    </w:tbl>
    <w:p w:rsidR="00E4472F" w:rsidRDefault="00000000">
      <w:r>
        <w:br/>
      </w:r>
    </w:p>
    <w:p w:rsidR="00E4472F" w:rsidRDefault="00000000">
      <w:pPr>
        <w:spacing w:line="240" w:lineRule="auto"/>
        <w:jc w:val="center"/>
      </w:pPr>
      <w:r>
        <w:rPr>
          <w:b/>
          <w:sz w:val="28"/>
        </w:rPr>
        <w:t>BILJEŠKE UZ FINANCIJSKE IZVJEŠTAJE</w:t>
      </w:r>
    </w:p>
    <w:p w:rsidR="00E4472F" w:rsidRDefault="00000000">
      <w:pPr>
        <w:spacing w:line="240" w:lineRule="auto"/>
        <w:jc w:val="center"/>
      </w:pPr>
      <w:r>
        <w:rPr>
          <w:b/>
          <w:sz w:val="28"/>
        </w:rPr>
        <w:t>ZA RAZDOBLJE</w:t>
      </w:r>
    </w:p>
    <w:p w:rsidR="00E4472F" w:rsidRDefault="00000000">
      <w:pPr>
        <w:spacing w:line="240" w:lineRule="auto"/>
        <w:jc w:val="center"/>
      </w:pPr>
      <w:r>
        <w:rPr>
          <w:b/>
          <w:sz w:val="28"/>
        </w:rPr>
        <w:t>I - XII 2025.</w:t>
      </w:r>
    </w:p>
    <w:p w:rsidR="00E4472F" w:rsidRDefault="00E4472F"/>
    <w:p w:rsidR="00E4472F" w:rsidRDefault="00000000">
      <w:pPr>
        <w:keepNext/>
        <w:spacing w:line="240" w:lineRule="auto"/>
        <w:jc w:val="center"/>
      </w:pPr>
      <w:r>
        <w:rPr>
          <w:b/>
          <w:sz w:val="28"/>
        </w:rPr>
        <w:t>Izvještaj o prihodima i rashodima, primicima i izdacima</w:t>
      </w:r>
    </w:p>
    <w:p w:rsidR="00E4472F" w:rsidRDefault="00000000">
      <w:pPr>
        <w:keepNext/>
        <w:spacing w:line="240" w:lineRule="auto"/>
        <w:jc w:val="center"/>
      </w:pPr>
      <w:r>
        <w:rPr>
          <w:sz w:val="28"/>
        </w:rPr>
        <w:t>Bilješka 1.</w:t>
      </w:r>
    </w:p>
    <w:tbl>
      <w:tblPr>
        <w:tblW w:w="0" w:type="auto"/>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w:t>
            </w:r>
          </w:p>
        </w:tc>
        <w:tc>
          <w:tcPr>
            <w:tcW w:w="3180" w:type="dxa"/>
            <w:tcMar>
              <w:top w:w="0" w:type="dxa"/>
              <w:bottom w:w="0" w:type="dxa"/>
            </w:tcMar>
            <w:vAlign w:val="center"/>
          </w:tcPr>
          <w:p w:rsidR="00E4472F" w:rsidRDefault="00000000">
            <w:pPr>
              <w:keepNext/>
              <w:keepLines/>
              <w:spacing w:after="0" w:line="240" w:lineRule="auto"/>
            </w:pPr>
            <w:r>
              <w:rPr>
                <w:sz w:val="18"/>
              </w:rPr>
              <w:t>PRIHODI POSLOVANJA (šifre 61+62+63+64+65+66+67+68)</w:t>
            </w:r>
          </w:p>
        </w:tc>
        <w:tc>
          <w:tcPr>
            <w:tcW w:w="700" w:type="dxa"/>
            <w:tcMar>
              <w:top w:w="0" w:type="dxa"/>
              <w:bottom w:w="0" w:type="dxa"/>
            </w:tcMar>
            <w:vAlign w:val="center"/>
          </w:tcPr>
          <w:p w:rsidR="00E4472F" w:rsidRDefault="00000000">
            <w:pPr>
              <w:keepNext/>
              <w:keepLines/>
              <w:spacing w:after="0" w:line="240" w:lineRule="auto"/>
            </w:pPr>
            <w:r>
              <w:rPr>
                <w:sz w:val="18"/>
              </w:rPr>
              <w:t>6</w:t>
            </w:r>
          </w:p>
        </w:tc>
        <w:tc>
          <w:tcPr>
            <w:tcW w:w="1860" w:type="dxa"/>
            <w:tcMar>
              <w:top w:w="0" w:type="dxa"/>
              <w:bottom w:w="0" w:type="dxa"/>
            </w:tcMar>
            <w:vAlign w:val="center"/>
          </w:tcPr>
          <w:p w:rsidR="00E4472F" w:rsidRDefault="00000000">
            <w:pPr>
              <w:keepNext/>
              <w:keepLines/>
              <w:spacing w:after="0" w:line="240" w:lineRule="auto"/>
              <w:jc w:val="right"/>
            </w:pPr>
            <w:r>
              <w:rPr>
                <w:sz w:val="18"/>
              </w:rPr>
              <w:t>95.658.732,42</w:t>
            </w:r>
          </w:p>
        </w:tc>
        <w:tc>
          <w:tcPr>
            <w:tcW w:w="1860" w:type="dxa"/>
            <w:tcMar>
              <w:top w:w="0" w:type="dxa"/>
              <w:bottom w:w="0" w:type="dxa"/>
            </w:tcMar>
            <w:vAlign w:val="center"/>
          </w:tcPr>
          <w:p w:rsidR="00E4472F" w:rsidRDefault="00000000">
            <w:pPr>
              <w:keepNext/>
              <w:keepLines/>
              <w:spacing w:after="0" w:line="240" w:lineRule="auto"/>
              <w:jc w:val="right"/>
            </w:pPr>
            <w:r>
              <w:rPr>
                <w:sz w:val="18"/>
              </w:rPr>
              <w:t>113.918.915,46</w:t>
            </w:r>
          </w:p>
        </w:tc>
        <w:tc>
          <w:tcPr>
            <w:tcW w:w="700" w:type="dxa"/>
            <w:tcMar>
              <w:top w:w="0" w:type="dxa"/>
              <w:bottom w:w="0" w:type="dxa"/>
            </w:tcMar>
            <w:vAlign w:val="center"/>
          </w:tcPr>
          <w:p w:rsidR="00E4472F" w:rsidRDefault="00000000">
            <w:pPr>
              <w:keepNext/>
              <w:keepLines/>
              <w:spacing w:after="0" w:line="240" w:lineRule="auto"/>
              <w:jc w:val="right"/>
            </w:pPr>
            <w:r>
              <w:rPr>
                <w:sz w:val="18"/>
              </w:rPr>
              <w:t>119,1</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w:t>
            </w:r>
          </w:p>
        </w:tc>
        <w:tc>
          <w:tcPr>
            <w:tcW w:w="3180" w:type="dxa"/>
            <w:tcMar>
              <w:top w:w="0" w:type="dxa"/>
              <w:bottom w:w="0" w:type="dxa"/>
            </w:tcMar>
            <w:vAlign w:val="center"/>
          </w:tcPr>
          <w:p w:rsidR="00E4472F" w:rsidRDefault="00000000">
            <w:pPr>
              <w:keepNext/>
              <w:keepLines/>
              <w:spacing w:after="0" w:line="240" w:lineRule="auto"/>
            </w:pPr>
            <w:r>
              <w:rPr>
                <w:sz w:val="18"/>
              </w:rPr>
              <w:t>RASHODI POSLOVANJA (šifre 31+32+34+35+36+37+38)</w:t>
            </w:r>
          </w:p>
        </w:tc>
        <w:tc>
          <w:tcPr>
            <w:tcW w:w="700" w:type="dxa"/>
            <w:tcMar>
              <w:top w:w="0" w:type="dxa"/>
              <w:bottom w:w="0" w:type="dxa"/>
            </w:tcMar>
            <w:vAlign w:val="center"/>
          </w:tcPr>
          <w:p w:rsidR="00E4472F" w:rsidRDefault="00000000">
            <w:pPr>
              <w:keepNext/>
              <w:keepLines/>
              <w:spacing w:after="0" w:line="240" w:lineRule="auto"/>
            </w:pPr>
            <w:r>
              <w:rPr>
                <w:sz w:val="18"/>
              </w:rPr>
              <w:t>3</w:t>
            </w:r>
          </w:p>
        </w:tc>
        <w:tc>
          <w:tcPr>
            <w:tcW w:w="1860" w:type="dxa"/>
            <w:tcMar>
              <w:top w:w="0" w:type="dxa"/>
              <w:bottom w:w="0" w:type="dxa"/>
            </w:tcMar>
            <w:vAlign w:val="center"/>
          </w:tcPr>
          <w:p w:rsidR="00E4472F" w:rsidRDefault="00000000">
            <w:pPr>
              <w:keepNext/>
              <w:keepLines/>
              <w:spacing w:after="0" w:line="240" w:lineRule="auto"/>
              <w:jc w:val="right"/>
            </w:pPr>
            <w:r>
              <w:rPr>
                <w:sz w:val="18"/>
              </w:rPr>
              <w:t>102.451.658,24</w:t>
            </w:r>
          </w:p>
        </w:tc>
        <w:tc>
          <w:tcPr>
            <w:tcW w:w="1860" w:type="dxa"/>
            <w:tcMar>
              <w:top w:w="0" w:type="dxa"/>
              <w:bottom w:w="0" w:type="dxa"/>
            </w:tcMar>
            <w:vAlign w:val="center"/>
          </w:tcPr>
          <w:p w:rsidR="00E4472F" w:rsidRDefault="00000000">
            <w:pPr>
              <w:keepNext/>
              <w:keepLines/>
              <w:spacing w:after="0" w:line="240" w:lineRule="auto"/>
              <w:jc w:val="right"/>
            </w:pPr>
            <w:r>
              <w:rPr>
                <w:sz w:val="18"/>
              </w:rPr>
              <w:t>115.765.377,28</w:t>
            </w:r>
          </w:p>
        </w:tc>
        <w:tc>
          <w:tcPr>
            <w:tcW w:w="700" w:type="dxa"/>
            <w:tcMar>
              <w:top w:w="0" w:type="dxa"/>
              <w:bottom w:w="0" w:type="dxa"/>
            </w:tcMar>
            <w:vAlign w:val="center"/>
          </w:tcPr>
          <w:p w:rsidR="00E4472F" w:rsidRDefault="00000000">
            <w:pPr>
              <w:keepNext/>
              <w:keepLines/>
              <w:spacing w:after="0" w:line="240" w:lineRule="auto"/>
              <w:jc w:val="right"/>
            </w:pPr>
            <w:r>
              <w:rPr>
                <w:sz w:val="18"/>
              </w:rPr>
              <w:t>113,0</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E4472F">
            <w:pPr>
              <w:keepNext/>
              <w:keepLines/>
              <w:spacing w:after="0" w:line="240" w:lineRule="auto"/>
            </w:pPr>
          </w:p>
        </w:tc>
        <w:tc>
          <w:tcPr>
            <w:tcW w:w="3180" w:type="dxa"/>
            <w:tcMar>
              <w:top w:w="0" w:type="dxa"/>
              <w:bottom w:w="0" w:type="dxa"/>
            </w:tcMar>
            <w:vAlign w:val="center"/>
          </w:tcPr>
          <w:p w:rsidR="00E4472F" w:rsidRDefault="00000000">
            <w:pPr>
              <w:keepNext/>
              <w:keepLines/>
              <w:spacing w:after="0" w:line="240" w:lineRule="auto"/>
            </w:pPr>
            <w:r>
              <w:rPr>
                <w:b/>
                <w:sz w:val="18"/>
              </w:rPr>
              <w:t>MANJAK PRIHODA POSLOVANJA (šifre Z005-6)</w:t>
            </w:r>
          </w:p>
        </w:tc>
        <w:tc>
          <w:tcPr>
            <w:tcW w:w="700" w:type="dxa"/>
            <w:tcMar>
              <w:top w:w="0" w:type="dxa"/>
              <w:bottom w:w="0" w:type="dxa"/>
            </w:tcMar>
            <w:vAlign w:val="center"/>
          </w:tcPr>
          <w:p w:rsidR="00E4472F" w:rsidRDefault="00000000">
            <w:pPr>
              <w:keepNext/>
              <w:keepLines/>
              <w:spacing w:after="0" w:line="240" w:lineRule="auto"/>
            </w:pPr>
            <w:r>
              <w:rPr>
                <w:b/>
                <w:sz w:val="18"/>
              </w:rPr>
              <w:t>Y001</w:t>
            </w:r>
          </w:p>
        </w:tc>
        <w:tc>
          <w:tcPr>
            <w:tcW w:w="1860" w:type="dxa"/>
            <w:tcMar>
              <w:top w:w="0" w:type="dxa"/>
              <w:bottom w:w="0" w:type="dxa"/>
            </w:tcMar>
            <w:vAlign w:val="center"/>
          </w:tcPr>
          <w:p w:rsidR="00E4472F" w:rsidRDefault="00000000">
            <w:pPr>
              <w:keepNext/>
              <w:keepLines/>
              <w:spacing w:after="0" w:line="240" w:lineRule="auto"/>
              <w:jc w:val="right"/>
            </w:pPr>
            <w:r>
              <w:rPr>
                <w:b/>
                <w:sz w:val="18"/>
              </w:rPr>
              <w:t>6.792.925,82</w:t>
            </w:r>
          </w:p>
        </w:tc>
        <w:tc>
          <w:tcPr>
            <w:tcW w:w="1860" w:type="dxa"/>
            <w:tcMar>
              <w:top w:w="0" w:type="dxa"/>
              <w:bottom w:w="0" w:type="dxa"/>
            </w:tcMar>
            <w:vAlign w:val="center"/>
          </w:tcPr>
          <w:p w:rsidR="00E4472F" w:rsidRDefault="00000000">
            <w:pPr>
              <w:keepNext/>
              <w:keepLines/>
              <w:spacing w:after="0" w:line="240" w:lineRule="auto"/>
              <w:jc w:val="right"/>
            </w:pPr>
            <w:r>
              <w:rPr>
                <w:b/>
                <w:sz w:val="18"/>
              </w:rPr>
              <w:t>1.846.461,82</w:t>
            </w:r>
          </w:p>
        </w:tc>
        <w:tc>
          <w:tcPr>
            <w:tcW w:w="700" w:type="dxa"/>
            <w:tcMar>
              <w:top w:w="0" w:type="dxa"/>
              <w:bottom w:w="0" w:type="dxa"/>
            </w:tcMar>
            <w:vAlign w:val="center"/>
          </w:tcPr>
          <w:p w:rsidR="00E4472F" w:rsidRDefault="00000000">
            <w:pPr>
              <w:keepNext/>
              <w:keepLines/>
              <w:spacing w:after="0" w:line="240" w:lineRule="auto"/>
              <w:jc w:val="right"/>
            </w:pPr>
            <w:r>
              <w:rPr>
                <w:b/>
                <w:sz w:val="18"/>
              </w:rPr>
              <w:t>27,2</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7</w:t>
            </w:r>
          </w:p>
        </w:tc>
        <w:tc>
          <w:tcPr>
            <w:tcW w:w="3180" w:type="dxa"/>
            <w:tcMar>
              <w:top w:w="0" w:type="dxa"/>
              <w:bottom w:w="0" w:type="dxa"/>
            </w:tcMar>
            <w:vAlign w:val="center"/>
          </w:tcPr>
          <w:p w:rsidR="00E4472F" w:rsidRDefault="00000000">
            <w:pPr>
              <w:keepNext/>
              <w:keepLines/>
              <w:spacing w:after="0" w:line="240" w:lineRule="auto"/>
            </w:pPr>
            <w:r>
              <w:rPr>
                <w:sz w:val="18"/>
              </w:rPr>
              <w:t>Prihodi od prodaje nefinancijske imovine (šifre 71+72+73+74)</w:t>
            </w:r>
          </w:p>
        </w:tc>
        <w:tc>
          <w:tcPr>
            <w:tcW w:w="700" w:type="dxa"/>
            <w:tcMar>
              <w:top w:w="0" w:type="dxa"/>
              <w:bottom w:w="0" w:type="dxa"/>
            </w:tcMar>
            <w:vAlign w:val="center"/>
          </w:tcPr>
          <w:p w:rsidR="00E4472F" w:rsidRDefault="00000000">
            <w:pPr>
              <w:keepNext/>
              <w:keepLines/>
              <w:spacing w:after="0" w:line="240" w:lineRule="auto"/>
            </w:pPr>
            <w:r>
              <w:rPr>
                <w:sz w:val="18"/>
              </w:rPr>
              <w:t>7</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4</w:t>
            </w:r>
          </w:p>
        </w:tc>
        <w:tc>
          <w:tcPr>
            <w:tcW w:w="3180" w:type="dxa"/>
            <w:tcMar>
              <w:top w:w="0" w:type="dxa"/>
              <w:bottom w:w="0" w:type="dxa"/>
            </w:tcMar>
            <w:vAlign w:val="center"/>
          </w:tcPr>
          <w:p w:rsidR="00E4472F" w:rsidRDefault="00000000">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rsidR="00E4472F" w:rsidRDefault="00000000">
            <w:pPr>
              <w:keepNext/>
              <w:keepLines/>
              <w:spacing w:after="0" w:line="240" w:lineRule="auto"/>
            </w:pPr>
            <w:r>
              <w:rPr>
                <w:sz w:val="18"/>
              </w:rPr>
              <w:t>4</w:t>
            </w:r>
          </w:p>
        </w:tc>
        <w:tc>
          <w:tcPr>
            <w:tcW w:w="1860" w:type="dxa"/>
            <w:tcMar>
              <w:top w:w="0" w:type="dxa"/>
              <w:bottom w:w="0" w:type="dxa"/>
            </w:tcMar>
            <w:vAlign w:val="center"/>
          </w:tcPr>
          <w:p w:rsidR="00E4472F" w:rsidRDefault="00000000">
            <w:pPr>
              <w:keepNext/>
              <w:keepLines/>
              <w:spacing w:after="0" w:line="240" w:lineRule="auto"/>
              <w:jc w:val="right"/>
            </w:pPr>
            <w:r>
              <w:rPr>
                <w:sz w:val="18"/>
              </w:rPr>
              <w:t>2.639.403,66</w:t>
            </w:r>
          </w:p>
        </w:tc>
        <w:tc>
          <w:tcPr>
            <w:tcW w:w="1860" w:type="dxa"/>
            <w:tcMar>
              <w:top w:w="0" w:type="dxa"/>
              <w:bottom w:w="0" w:type="dxa"/>
            </w:tcMar>
            <w:vAlign w:val="center"/>
          </w:tcPr>
          <w:p w:rsidR="00E4472F" w:rsidRDefault="00000000">
            <w:pPr>
              <w:keepNext/>
              <w:keepLines/>
              <w:spacing w:after="0" w:line="240" w:lineRule="auto"/>
              <w:jc w:val="right"/>
            </w:pPr>
            <w:r>
              <w:rPr>
                <w:sz w:val="18"/>
              </w:rPr>
              <w:t>3.567.436,72</w:t>
            </w:r>
          </w:p>
        </w:tc>
        <w:tc>
          <w:tcPr>
            <w:tcW w:w="700" w:type="dxa"/>
            <w:tcMar>
              <w:top w:w="0" w:type="dxa"/>
              <w:bottom w:w="0" w:type="dxa"/>
            </w:tcMar>
            <w:vAlign w:val="center"/>
          </w:tcPr>
          <w:p w:rsidR="00E4472F" w:rsidRDefault="00000000">
            <w:pPr>
              <w:keepNext/>
              <w:keepLines/>
              <w:spacing w:after="0" w:line="240" w:lineRule="auto"/>
              <w:jc w:val="right"/>
            </w:pPr>
            <w:r>
              <w:rPr>
                <w:sz w:val="18"/>
              </w:rPr>
              <w:t>135,2</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E4472F">
            <w:pPr>
              <w:keepNext/>
              <w:keepLines/>
              <w:spacing w:after="0" w:line="240" w:lineRule="auto"/>
            </w:pPr>
          </w:p>
        </w:tc>
        <w:tc>
          <w:tcPr>
            <w:tcW w:w="3180" w:type="dxa"/>
            <w:tcMar>
              <w:top w:w="0" w:type="dxa"/>
              <w:bottom w:w="0" w:type="dxa"/>
            </w:tcMar>
            <w:vAlign w:val="center"/>
          </w:tcPr>
          <w:p w:rsidR="00E4472F" w:rsidRDefault="00000000">
            <w:pPr>
              <w:keepNext/>
              <w:keepLines/>
              <w:spacing w:after="0" w:line="240" w:lineRule="auto"/>
            </w:pPr>
            <w:r>
              <w:rPr>
                <w:b/>
                <w:sz w:val="18"/>
              </w:rPr>
              <w:t>MANJAK PRIHODA OD NEFINANCIJSKE IMOVINE (šifre 4-7)</w:t>
            </w:r>
          </w:p>
        </w:tc>
        <w:tc>
          <w:tcPr>
            <w:tcW w:w="700" w:type="dxa"/>
            <w:tcMar>
              <w:top w:w="0" w:type="dxa"/>
              <w:bottom w:w="0" w:type="dxa"/>
            </w:tcMar>
            <w:vAlign w:val="center"/>
          </w:tcPr>
          <w:p w:rsidR="00E4472F" w:rsidRDefault="00000000">
            <w:pPr>
              <w:keepNext/>
              <w:keepLines/>
              <w:spacing w:after="0" w:line="240" w:lineRule="auto"/>
            </w:pPr>
            <w:r>
              <w:rPr>
                <w:b/>
                <w:sz w:val="18"/>
              </w:rPr>
              <w:t>Y002</w:t>
            </w:r>
          </w:p>
        </w:tc>
        <w:tc>
          <w:tcPr>
            <w:tcW w:w="1860" w:type="dxa"/>
            <w:tcMar>
              <w:top w:w="0" w:type="dxa"/>
              <w:bottom w:w="0" w:type="dxa"/>
            </w:tcMar>
            <w:vAlign w:val="center"/>
          </w:tcPr>
          <w:p w:rsidR="00E4472F" w:rsidRDefault="00000000">
            <w:pPr>
              <w:keepNext/>
              <w:keepLines/>
              <w:spacing w:after="0" w:line="240" w:lineRule="auto"/>
              <w:jc w:val="right"/>
            </w:pPr>
            <w:r>
              <w:rPr>
                <w:b/>
                <w:sz w:val="18"/>
              </w:rPr>
              <w:t>2.639.403,66</w:t>
            </w:r>
          </w:p>
        </w:tc>
        <w:tc>
          <w:tcPr>
            <w:tcW w:w="1860" w:type="dxa"/>
            <w:tcMar>
              <w:top w:w="0" w:type="dxa"/>
              <w:bottom w:w="0" w:type="dxa"/>
            </w:tcMar>
            <w:vAlign w:val="center"/>
          </w:tcPr>
          <w:p w:rsidR="00E4472F" w:rsidRDefault="00000000">
            <w:pPr>
              <w:keepNext/>
              <w:keepLines/>
              <w:spacing w:after="0" w:line="240" w:lineRule="auto"/>
              <w:jc w:val="right"/>
            </w:pPr>
            <w:r>
              <w:rPr>
                <w:b/>
                <w:sz w:val="18"/>
              </w:rPr>
              <w:t>3.567.436,72</w:t>
            </w:r>
          </w:p>
        </w:tc>
        <w:tc>
          <w:tcPr>
            <w:tcW w:w="700" w:type="dxa"/>
            <w:tcMar>
              <w:top w:w="0" w:type="dxa"/>
              <w:bottom w:w="0" w:type="dxa"/>
            </w:tcMar>
            <w:vAlign w:val="center"/>
          </w:tcPr>
          <w:p w:rsidR="00E4472F" w:rsidRDefault="00000000">
            <w:pPr>
              <w:keepNext/>
              <w:keepLines/>
              <w:spacing w:after="0" w:line="240" w:lineRule="auto"/>
              <w:jc w:val="right"/>
            </w:pPr>
            <w:r>
              <w:rPr>
                <w:b/>
                <w:sz w:val="18"/>
              </w:rPr>
              <w:t>135,2</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8</w:t>
            </w:r>
          </w:p>
        </w:tc>
        <w:tc>
          <w:tcPr>
            <w:tcW w:w="3180" w:type="dxa"/>
            <w:tcMar>
              <w:top w:w="0" w:type="dxa"/>
              <w:bottom w:w="0" w:type="dxa"/>
            </w:tcMar>
            <w:vAlign w:val="center"/>
          </w:tcPr>
          <w:p w:rsidR="00E4472F" w:rsidRDefault="00000000">
            <w:pPr>
              <w:keepNext/>
              <w:keepLines/>
              <w:spacing w:after="0" w:line="240" w:lineRule="auto"/>
            </w:pPr>
            <w:r>
              <w:rPr>
                <w:sz w:val="18"/>
              </w:rPr>
              <w:t>Primici od financijske imovine i zaduživanja (šifre 81+82+83+84+85)</w:t>
            </w:r>
          </w:p>
        </w:tc>
        <w:tc>
          <w:tcPr>
            <w:tcW w:w="700" w:type="dxa"/>
            <w:tcMar>
              <w:top w:w="0" w:type="dxa"/>
              <w:bottom w:w="0" w:type="dxa"/>
            </w:tcMar>
            <w:vAlign w:val="center"/>
          </w:tcPr>
          <w:p w:rsidR="00E4472F" w:rsidRDefault="00000000">
            <w:pPr>
              <w:keepNext/>
              <w:keepLines/>
              <w:spacing w:after="0" w:line="240" w:lineRule="auto"/>
            </w:pPr>
            <w:r>
              <w:rPr>
                <w:sz w:val="18"/>
              </w:rPr>
              <w:t>8</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5</w:t>
            </w:r>
          </w:p>
        </w:tc>
        <w:tc>
          <w:tcPr>
            <w:tcW w:w="3180" w:type="dxa"/>
            <w:tcMar>
              <w:top w:w="0" w:type="dxa"/>
              <w:bottom w:w="0" w:type="dxa"/>
            </w:tcMar>
            <w:vAlign w:val="center"/>
          </w:tcPr>
          <w:p w:rsidR="00E4472F" w:rsidRDefault="00000000">
            <w:pPr>
              <w:keepNext/>
              <w:keepLines/>
              <w:spacing w:after="0" w:line="240" w:lineRule="auto"/>
            </w:pPr>
            <w:r>
              <w:rPr>
                <w:sz w:val="18"/>
              </w:rPr>
              <w:t>Izdaci za financijsku imovinu i otplate zajmova (šifre 51+52+53+54+55)</w:t>
            </w:r>
          </w:p>
        </w:tc>
        <w:tc>
          <w:tcPr>
            <w:tcW w:w="700" w:type="dxa"/>
            <w:tcMar>
              <w:top w:w="0" w:type="dxa"/>
              <w:bottom w:w="0" w:type="dxa"/>
            </w:tcMar>
            <w:vAlign w:val="center"/>
          </w:tcPr>
          <w:p w:rsidR="00E4472F" w:rsidRDefault="00000000">
            <w:pPr>
              <w:keepNext/>
              <w:keepLines/>
              <w:spacing w:after="0" w:line="240" w:lineRule="auto"/>
            </w:pPr>
            <w:r>
              <w:rPr>
                <w:sz w:val="18"/>
              </w:rPr>
              <w:t>5</w:t>
            </w:r>
          </w:p>
        </w:tc>
        <w:tc>
          <w:tcPr>
            <w:tcW w:w="1860" w:type="dxa"/>
            <w:tcMar>
              <w:top w:w="0" w:type="dxa"/>
              <w:bottom w:w="0" w:type="dxa"/>
            </w:tcMar>
            <w:vAlign w:val="center"/>
          </w:tcPr>
          <w:p w:rsidR="00E4472F" w:rsidRDefault="00000000">
            <w:pPr>
              <w:keepNext/>
              <w:keepLines/>
              <w:spacing w:after="0" w:line="240" w:lineRule="auto"/>
              <w:jc w:val="right"/>
            </w:pPr>
            <w:r>
              <w:rPr>
                <w:sz w:val="18"/>
              </w:rPr>
              <w:t>663.614,04</w:t>
            </w:r>
          </w:p>
        </w:tc>
        <w:tc>
          <w:tcPr>
            <w:tcW w:w="1860" w:type="dxa"/>
            <w:tcMar>
              <w:top w:w="0" w:type="dxa"/>
              <w:bottom w:w="0" w:type="dxa"/>
            </w:tcMar>
            <w:vAlign w:val="center"/>
          </w:tcPr>
          <w:p w:rsidR="00E4472F" w:rsidRDefault="00000000">
            <w:pPr>
              <w:keepNext/>
              <w:keepLines/>
              <w:spacing w:after="0" w:line="240" w:lineRule="auto"/>
              <w:jc w:val="right"/>
            </w:pPr>
            <w:r>
              <w:rPr>
                <w:sz w:val="18"/>
              </w:rPr>
              <w:t>663.614,05</w:t>
            </w:r>
          </w:p>
        </w:tc>
        <w:tc>
          <w:tcPr>
            <w:tcW w:w="700" w:type="dxa"/>
            <w:tcMar>
              <w:top w:w="0" w:type="dxa"/>
              <w:bottom w:w="0" w:type="dxa"/>
            </w:tcMar>
            <w:vAlign w:val="center"/>
          </w:tcPr>
          <w:p w:rsidR="00E4472F" w:rsidRDefault="00000000">
            <w:pPr>
              <w:keepNext/>
              <w:keepLines/>
              <w:spacing w:after="0" w:line="240" w:lineRule="auto"/>
              <w:jc w:val="right"/>
            </w:pPr>
            <w:r>
              <w:rPr>
                <w:sz w:val="18"/>
              </w:rPr>
              <w:t>100,0</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E4472F">
            <w:pPr>
              <w:keepNext/>
              <w:keepLines/>
              <w:spacing w:after="0" w:line="240" w:lineRule="auto"/>
            </w:pPr>
          </w:p>
        </w:tc>
        <w:tc>
          <w:tcPr>
            <w:tcW w:w="3180" w:type="dxa"/>
            <w:tcMar>
              <w:top w:w="0" w:type="dxa"/>
              <w:bottom w:w="0" w:type="dxa"/>
            </w:tcMar>
            <w:vAlign w:val="center"/>
          </w:tcPr>
          <w:p w:rsidR="00E4472F" w:rsidRDefault="00000000">
            <w:pPr>
              <w:keepNext/>
              <w:keepLines/>
              <w:spacing w:after="0" w:line="240" w:lineRule="auto"/>
            </w:pPr>
            <w:r>
              <w:rPr>
                <w:b/>
                <w:sz w:val="18"/>
              </w:rPr>
              <w:t>MANJAK PRIMITAKA OD FINANCIJSKE IMOVINE I ZADUŽIVANJA (šifre 5-8)</w:t>
            </w:r>
          </w:p>
        </w:tc>
        <w:tc>
          <w:tcPr>
            <w:tcW w:w="700" w:type="dxa"/>
            <w:tcMar>
              <w:top w:w="0" w:type="dxa"/>
              <w:bottom w:w="0" w:type="dxa"/>
            </w:tcMar>
            <w:vAlign w:val="center"/>
          </w:tcPr>
          <w:p w:rsidR="00E4472F" w:rsidRDefault="00000000">
            <w:pPr>
              <w:keepNext/>
              <w:keepLines/>
              <w:spacing w:after="0" w:line="240" w:lineRule="auto"/>
            </w:pPr>
            <w:r>
              <w:rPr>
                <w:b/>
                <w:sz w:val="18"/>
              </w:rPr>
              <w:t>Y003</w:t>
            </w:r>
          </w:p>
        </w:tc>
        <w:tc>
          <w:tcPr>
            <w:tcW w:w="1860" w:type="dxa"/>
            <w:tcMar>
              <w:top w:w="0" w:type="dxa"/>
              <w:bottom w:w="0" w:type="dxa"/>
            </w:tcMar>
            <w:vAlign w:val="center"/>
          </w:tcPr>
          <w:p w:rsidR="00E4472F" w:rsidRDefault="00000000">
            <w:pPr>
              <w:keepNext/>
              <w:keepLines/>
              <w:spacing w:after="0" w:line="240" w:lineRule="auto"/>
              <w:jc w:val="right"/>
            </w:pPr>
            <w:r>
              <w:rPr>
                <w:b/>
                <w:sz w:val="18"/>
              </w:rPr>
              <w:t>663.614,04</w:t>
            </w:r>
          </w:p>
        </w:tc>
        <w:tc>
          <w:tcPr>
            <w:tcW w:w="1860" w:type="dxa"/>
            <w:tcMar>
              <w:top w:w="0" w:type="dxa"/>
              <w:bottom w:w="0" w:type="dxa"/>
            </w:tcMar>
            <w:vAlign w:val="center"/>
          </w:tcPr>
          <w:p w:rsidR="00E4472F" w:rsidRDefault="00000000">
            <w:pPr>
              <w:keepNext/>
              <w:keepLines/>
              <w:spacing w:after="0" w:line="240" w:lineRule="auto"/>
              <w:jc w:val="right"/>
            </w:pPr>
            <w:r>
              <w:rPr>
                <w:b/>
                <w:sz w:val="18"/>
              </w:rPr>
              <w:t>663.614,05</w:t>
            </w:r>
          </w:p>
        </w:tc>
        <w:tc>
          <w:tcPr>
            <w:tcW w:w="700" w:type="dxa"/>
            <w:tcMar>
              <w:top w:w="0" w:type="dxa"/>
              <w:bottom w:w="0" w:type="dxa"/>
            </w:tcMar>
            <w:vAlign w:val="center"/>
          </w:tcPr>
          <w:p w:rsidR="00E4472F" w:rsidRDefault="00000000">
            <w:pPr>
              <w:keepNext/>
              <w:keepLines/>
              <w:spacing w:after="0" w:line="240" w:lineRule="auto"/>
              <w:jc w:val="right"/>
            </w:pPr>
            <w:r>
              <w:rPr>
                <w:b/>
                <w:sz w:val="18"/>
              </w:rPr>
              <w:t>100,0</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E4472F">
            <w:pPr>
              <w:keepNext/>
              <w:keepLines/>
              <w:spacing w:after="0" w:line="240" w:lineRule="auto"/>
            </w:pPr>
          </w:p>
        </w:tc>
        <w:tc>
          <w:tcPr>
            <w:tcW w:w="3180" w:type="dxa"/>
            <w:tcMar>
              <w:top w:w="0" w:type="dxa"/>
              <w:bottom w:w="0" w:type="dxa"/>
            </w:tcMar>
            <w:vAlign w:val="center"/>
          </w:tcPr>
          <w:p w:rsidR="00E4472F" w:rsidRDefault="00000000">
            <w:pPr>
              <w:keepNext/>
              <w:keepLines/>
              <w:spacing w:after="0" w:line="240" w:lineRule="auto"/>
            </w:pPr>
            <w:r>
              <w:rPr>
                <w:b/>
                <w:sz w:val="18"/>
              </w:rPr>
              <w:t>MANJAK PRIHODA I PRIMITAKA (šifre Y345-X678)</w:t>
            </w:r>
          </w:p>
        </w:tc>
        <w:tc>
          <w:tcPr>
            <w:tcW w:w="700" w:type="dxa"/>
            <w:tcMar>
              <w:top w:w="0" w:type="dxa"/>
              <w:bottom w:w="0" w:type="dxa"/>
            </w:tcMar>
            <w:vAlign w:val="center"/>
          </w:tcPr>
          <w:p w:rsidR="00E4472F" w:rsidRDefault="00000000">
            <w:pPr>
              <w:keepNext/>
              <w:keepLines/>
              <w:spacing w:after="0" w:line="240" w:lineRule="auto"/>
            </w:pPr>
            <w:r>
              <w:rPr>
                <w:b/>
                <w:sz w:val="18"/>
              </w:rPr>
              <w:t>Y005</w:t>
            </w:r>
          </w:p>
        </w:tc>
        <w:tc>
          <w:tcPr>
            <w:tcW w:w="1860" w:type="dxa"/>
            <w:tcMar>
              <w:top w:w="0" w:type="dxa"/>
              <w:bottom w:w="0" w:type="dxa"/>
            </w:tcMar>
            <w:vAlign w:val="center"/>
          </w:tcPr>
          <w:p w:rsidR="00E4472F" w:rsidRDefault="00000000">
            <w:pPr>
              <w:keepNext/>
              <w:keepLines/>
              <w:spacing w:after="0" w:line="240" w:lineRule="auto"/>
              <w:jc w:val="right"/>
            </w:pPr>
            <w:r>
              <w:rPr>
                <w:b/>
                <w:sz w:val="18"/>
              </w:rPr>
              <w:t>10.095.943,52</w:t>
            </w:r>
          </w:p>
        </w:tc>
        <w:tc>
          <w:tcPr>
            <w:tcW w:w="1860" w:type="dxa"/>
            <w:tcMar>
              <w:top w:w="0" w:type="dxa"/>
              <w:bottom w:w="0" w:type="dxa"/>
            </w:tcMar>
            <w:vAlign w:val="center"/>
          </w:tcPr>
          <w:p w:rsidR="00E4472F" w:rsidRDefault="00000000">
            <w:pPr>
              <w:keepNext/>
              <w:keepLines/>
              <w:spacing w:after="0" w:line="240" w:lineRule="auto"/>
              <w:jc w:val="right"/>
            </w:pPr>
            <w:r>
              <w:rPr>
                <w:b/>
                <w:sz w:val="18"/>
              </w:rPr>
              <w:t>6.077.512,59</w:t>
            </w:r>
          </w:p>
        </w:tc>
        <w:tc>
          <w:tcPr>
            <w:tcW w:w="700" w:type="dxa"/>
            <w:tcMar>
              <w:top w:w="0" w:type="dxa"/>
              <w:bottom w:w="0" w:type="dxa"/>
            </w:tcMar>
            <w:vAlign w:val="center"/>
          </w:tcPr>
          <w:p w:rsidR="00E4472F" w:rsidRDefault="00000000">
            <w:pPr>
              <w:keepNext/>
              <w:keepLines/>
              <w:spacing w:after="0" w:line="240" w:lineRule="auto"/>
              <w:jc w:val="right"/>
            </w:pPr>
            <w:r>
              <w:rPr>
                <w:b/>
                <w:sz w:val="18"/>
              </w:rPr>
              <w:t>60,2</w:t>
            </w:r>
          </w:p>
        </w:tc>
      </w:tr>
    </w:tbl>
    <w:p w:rsidR="00E4472F" w:rsidRDefault="00E4472F">
      <w:pPr>
        <w:spacing w:after="0"/>
      </w:pPr>
    </w:p>
    <w:p w:rsidR="00E4472F" w:rsidRDefault="00000000">
      <w:pPr>
        <w:jc w:val="center"/>
      </w:pPr>
      <w:r>
        <w:t>FINANCIJSKI REZULTAT</w:t>
      </w:r>
    </w:p>
    <w:p w:rsidR="00E4472F" w:rsidRDefault="00000000">
      <w:pPr>
        <w:jc w:val="both"/>
      </w:pPr>
      <w:r>
        <w:t>Na temelju podataka iskazanih u obrascu PR-RAS za izvještajno razdoblje koje završava 31. prosinca 2025. godine, utvrđen je financijski rezultat poslovanja Klinička bolnica „Sveti Duh“ (dalje u tekstu: Bolnica) u skladu s načelima proračunskog računovodstva.</w:t>
      </w:r>
    </w:p>
    <w:p w:rsidR="00E4472F" w:rsidRDefault="00000000">
      <w:pPr>
        <w:jc w:val="both"/>
      </w:pPr>
      <w:r>
        <w:lastRenderedPageBreak/>
        <w:t>Ukupni prihodi poslovanja u izvještajnom razdoblju iznose 113.918.915,46 eura, što predstavlja povećanje od 19,09 % u odnosu na prethodnu godinu, kada su iznosili 95.658.732,42 eura. Rast prihoda poslovanja ostvaren je ponajprije zbog povećanog obujma pruženih zdravstvenih usluga te povećanja cijena zdravstvenih usluga, kroz povećanje vrijednosti dijagnostičko-terapijskih skupina (DTS) i dijagnostičko-terapijskih postupaka (DTP) od strane Hrvatskog zavoda za zdravstveno osiguranje (dalje u tekstu: HZZO).</w:t>
      </w:r>
    </w:p>
    <w:p w:rsidR="00E4472F" w:rsidRDefault="00000000">
      <w:pPr>
        <w:jc w:val="both"/>
      </w:pPr>
      <w:r>
        <w:t>Ukupni rashodi poslovanja u 2025. godini iznose 115.765.377,28 eura, što predstavlja povećanje od 12,99 % u odnosu na prethodno izvještajno razdoblje, kada su iznosili 102.451.658,24 eura. Povećanju rashoda poslovanja najznačajnije su pridonijeli rashodi za zaposlene i materijalni rashodi, s posebnim naglaskom na povećanje rashoda za lijekove i potrošni medicinski materijal, koji imaju značajan udio u strukturi materijalnih rashoda.</w:t>
      </w:r>
    </w:p>
    <w:p w:rsidR="00E4472F" w:rsidRDefault="00000000">
      <w:pPr>
        <w:jc w:val="both"/>
      </w:pPr>
      <w:r>
        <w:t>U izvještajnom razdoblju ostvaren je manjak prihoda poslovanja u iznosu od 1.846.461,82 eura, dok je u prethodnoj godini manjak iznosio 6.792.925,82 eura, što upućuje na značajno smanjenje negativnog rezultata poslovanja.</w:t>
      </w:r>
    </w:p>
    <w:p w:rsidR="00E4472F" w:rsidRDefault="00000000">
      <w:pPr>
        <w:jc w:val="both"/>
      </w:pPr>
      <w:r>
        <w:t>Na razini nefinancijske imovine ostvaren je manjak prihoda od nefinancijske imovine u iznosu od 3.567.436,72 eura, što predstavlja povećanje u odnosu na prethodnu godinu.</w:t>
      </w:r>
    </w:p>
    <w:p w:rsidR="00E4472F" w:rsidRDefault="00000000">
      <w:pPr>
        <w:jc w:val="both"/>
      </w:pPr>
      <w:r>
        <w:t>Ukupan manjak prihoda u izvještajnom razdoblju iznosi 5.413.898,54 eura, dok manjak primitaka iznosi 663.614,05 eura, čime je ostvaren manjak prihoda i primitaka u iznosu od 6.077.512,59 eura. Navedeni manjak predstavlja smanjenje od 39,8 % u odnosu na prethodnu godinu, kada je iznosio 10.095.943,52 eura, a smanjenje manjka u najvećoj mjeri proizlazi iz povećanog iznosa namjenskih pomoći odnosno sredstava sanacije od strane Ministarstvo zdravstva i HZZO-a u 2025. godini u odnosu na 2024. godinu.</w:t>
      </w:r>
    </w:p>
    <w:p w:rsidR="00E4472F" w:rsidRDefault="00000000">
      <w:pPr>
        <w:jc w:val="both"/>
      </w:pPr>
      <w:r>
        <w:t>Negativan rezultat poslovanja iskazan u PR-RAS obrascu Bolnice posljedica je rasta rashoda poslovanja u odnosu na ostvarene prihode poslovanja u izvještajnom razdoblju. Najznačajniji utjecaj na rezultat imali su rashodi za zaposlene (skupina 31 PR-RAS obrasca), čiji je rast povezan s povećanjem plaća, dodataka na plaće i ostalih prava zaposlenika, kao i materijalni rashodi (skupina 32 PR-RAS obrasca), unutar kojih je zabilježen rast rashoda za lijekove i potrošni medicinski materijal uslijed povećanog obujma i složenosti pruženih zdravstvenih usluga.</w:t>
      </w:r>
    </w:p>
    <w:p w:rsidR="00E4472F" w:rsidRDefault="00000000">
      <w:r>
        <w:br/>
      </w:r>
    </w:p>
    <w:p w:rsidR="00E4472F" w:rsidRDefault="00000000">
      <w:pPr>
        <w:keepNext/>
        <w:spacing w:line="240" w:lineRule="auto"/>
        <w:jc w:val="center"/>
      </w:pPr>
      <w:r>
        <w:rPr>
          <w:sz w:val="28"/>
        </w:rPr>
        <w:t>Bilješka 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w:t>
            </w:r>
          </w:p>
        </w:tc>
        <w:tc>
          <w:tcPr>
            <w:tcW w:w="3180" w:type="dxa"/>
            <w:tcMar>
              <w:top w:w="0" w:type="dxa"/>
              <w:bottom w:w="0" w:type="dxa"/>
            </w:tcMar>
            <w:vAlign w:val="center"/>
          </w:tcPr>
          <w:p w:rsidR="00E4472F" w:rsidRDefault="00000000">
            <w:pPr>
              <w:keepNext/>
              <w:keepLines/>
              <w:spacing w:after="0" w:line="240" w:lineRule="auto"/>
            </w:pPr>
            <w:r>
              <w:rPr>
                <w:sz w:val="18"/>
              </w:rPr>
              <w:t>PRIHODI POSLOVANJA (šifre 61+62+63+64+65+66+67+68)</w:t>
            </w:r>
          </w:p>
        </w:tc>
        <w:tc>
          <w:tcPr>
            <w:tcW w:w="700" w:type="dxa"/>
            <w:tcMar>
              <w:top w:w="0" w:type="dxa"/>
              <w:bottom w:w="0" w:type="dxa"/>
            </w:tcMar>
            <w:vAlign w:val="center"/>
          </w:tcPr>
          <w:p w:rsidR="00E4472F" w:rsidRDefault="00000000">
            <w:pPr>
              <w:keepNext/>
              <w:keepLines/>
              <w:spacing w:after="0" w:line="240" w:lineRule="auto"/>
            </w:pPr>
            <w:r>
              <w:rPr>
                <w:sz w:val="18"/>
              </w:rPr>
              <w:t>6</w:t>
            </w:r>
          </w:p>
        </w:tc>
        <w:tc>
          <w:tcPr>
            <w:tcW w:w="1860" w:type="dxa"/>
            <w:tcMar>
              <w:top w:w="0" w:type="dxa"/>
              <w:bottom w:w="0" w:type="dxa"/>
            </w:tcMar>
            <w:vAlign w:val="center"/>
          </w:tcPr>
          <w:p w:rsidR="00E4472F" w:rsidRDefault="00000000">
            <w:pPr>
              <w:keepNext/>
              <w:keepLines/>
              <w:spacing w:after="0" w:line="240" w:lineRule="auto"/>
              <w:jc w:val="right"/>
            </w:pPr>
            <w:r>
              <w:rPr>
                <w:sz w:val="18"/>
              </w:rPr>
              <w:t>95.658.732,42</w:t>
            </w:r>
          </w:p>
        </w:tc>
        <w:tc>
          <w:tcPr>
            <w:tcW w:w="1860" w:type="dxa"/>
            <w:tcMar>
              <w:top w:w="0" w:type="dxa"/>
              <w:bottom w:w="0" w:type="dxa"/>
            </w:tcMar>
            <w:vAlign w:val="center"/>
          </w:tcPr>
          <w:p w:rsidR="00E4472F" w:rsidRDefault="00000000">
            <w:pPr>
              <w:keepNext/>
              <w:keepLines/>
              <w:spacing w:after="0" w:line="240" w:lineRule="auto"/>
              <w:jc w:val="right"/>
            </w:pPr>
            <w:r>
              <w:rPr>
                <w:sz w:val="18"/>
              </w:rPr>
              <w:t>113.918.915,46</w:t>
            </w:r>
          </w:p>
        </w:tc>
        <w:tc>
          <w:tcPr>
            <w:tcW w:w="700" w:type="dxa"/>
            <w:tcMar>
              <w:top w:w="0" w:type="dxa"/>
              <w:bottom w:w="0" w:type="dxa"/>
            </w:tcMar>
            <w:vAlign w:val="center"/>
          </w:tcPr>
          <w:p w:rsidR="00E4472F" w:rsidRDefault="00000000">
            <w:pPr>
              <w:keepNext/>
              <w:keepLines/>
              <w:spacing w:after="0" w:line="240" w:lineRule="auto"/>
              <w:jc w:val="right"/>
            </w:pPr>
            <w:r>
              <w:rPr>
                <w:sz w:val="18"/>
              </w:rPr>
              <w:t>119,1</w:t>
            </w:r>
          </w:p>
        </w:tc>
      </w:tr>
    </w:tbl>
    <w:p w:rsidR="00E4472F" w:rsidRDefault="00E4472F">
      <w:pPr>
        <w:spacing w:after="0"/>
      </w:pPr>
    </w:p>
    <w:p w:rsidR="00E4472F" w:rsidRDefault="00000000">
      <w:r>
        <w:t xml:space="preserve">Ukupni prihodi poslovanja u izvještajnom razdoblju iznose 113.918.915,46 eura, što predstavlja povećanje od 19,09 % u odnosu na prethodnu godinu, kada su iznosili </w:t>
      </w:r>
      <w:r>
        <w:lastRenderedPageBreak/>
        <w:t>95.658.732,42 eura. Rast prihoda poslovanja ostvaren je ponajprije zbog povećanog obujma pruženih zdravstvenih usluga te povećanja cijena zdravstvenih usluga, kroz povećanje vrijednosti dijagnostičko-terapijskih skupina (DTS) i dijagnostičko-terapijskih postupaka (DTP) od strane Hrvatskog zavoda za zdravstveno osiguranje (dalje u tekstu: HZZO).</w:t>
      </w:r>
    </w:p>
    <w:p w:rsidR="00E4472F" w:rsidRDefault="00E4472F"/>
    <w:p w:rsidR="00E4472F" w:rsidRDefault="00000000">
      <w:pPr>
        <w:keepNext/>
        <w:spacing w:line="240" w:lineRule="auto"/>
        <w:jc w:val="center"/>
      </w:pPr>
      <w:r>
        <w:rPr>
          <w:sz w:val="28"/>
        </w:rPr>
        <w:t>Bilješka 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63</w:t>
            </w:r>
          </w:p>
        </w:tc>
        <w:tc>
          <w:tcPr>
            <w:tcW w:w="3180" w:type="dxa"/>
            <w:tcMar>
              <w:top w:w="0" w:type="dxa"/>
              <w:bottom w:w="0" w:type="dxa"/>
            </w:tcMar>
            <w:vAlign w:val="center"/>
          </w:tcPr>
          <w:p w:rsidR="00E4472F" w:rsidRDefault="00000000">
            <w:pPr>
              <w:keepNext/>
              <w:keepLines/>
              <w:spacing w:after="0" w:line="240" w:lineRule="auto"/>
            </w:pPr>
            <w:r>
              <w:rPr>
                <w:sz w:val="18"/>
              </w:rPr>
              <w:t>Pomoći iz inozemstva i od subjekata unutar općeg proračuna (šifre 631+632+633+634+635+636+637+638+639)</w:t>
            </w:r>
          </w:p>
        </w:tc>
        <w:tc>
          <w:tcPr>
            <w:tcW w:w="700" w:type="dxa"/>
            <w:tcMar>
              <w:top w:w="0" w:type="dxa"/>
              <w:bottom w:w="0" w:type="dxa"/>
            </w:tcMar>
            <w:vAlign w:val="center"/>
          </w:tcPr>
          <w:p w:rsidR="00E4472F" w:rsidRDefault="00000000">
            <w:pPr>
              <w:keepNext/>
              <w:keepLines/>
              <w:spacing w:after="0" w:line="240" w:lineRule="auto"/>
            </w:pPr>
            <w:r>
              <w:rPr>
                <w:sz w:val="18"/>
              </w:rPr>
              <w:t>63</w:t>
            </w:r>
          </w:p>
        </w:tc>
        <w:tc>
          <w:tcPr>
            <w:tcW w:w="1860" w:type="dxa"/>
            <w:tcMar>
              <w:top w:w="0" w:type="dxa"/>
              <w:bottom w:w="0" w:type="dxa"/>
            </w:tcMar>
            <w:vAlign w:val="center"/>
          </w:tcPr>
          <w:p w:rsidR="00E4472F" w:rsidRDefault="00000000">
            <w:pPr>
              <w:keepNext/>
              <w:keepLines/>
              <w:spacing w:after="0" w:line="240" w:lineRule="auto"/>
              <w:jc w:val="right"/>
            </w:pPr>
            <w:r>
              <w:rPr>
                <w:sz w:val="18"/>
              </w:rPr>
              <w:t>1.450.202,23</w:t>
            </w:r>
          </w:p>
        </w:tc>
        <w:tc>
          <w:tcPr>
            <w:tcW w:w="1860" w:type="dxa"/>
            <w:tcMar>
              <w:top w:w="0" w:type="dxa"/>
              <w:bottom w:w="0" w:type="dxa"/>
            </w:tcMar>
            <w:vAlign w:val="center"/>
          </w:tcPr>
          <w:p w:rsidR="00E4472F" w:rsidRDefault="00000000">
            <w:pPr>
              <w:keepNext/>
              <w:keepLines/>
              <w:spacing w:after="0" w:line="240" w:lineRule="auto"/>
              <w:jc w:val="right"/>
            </w:pPr>
            <w:r>
              <w:rPr>
                <w:sz w:val="18"/>
              </w:rPr>
              <w:t>2.364.868,82</w:t>
            </w:r>
          </w:p>
        </w:tc>
        <w:tc>
          <w:tcPr>
            <w:tcW w:w="700" w:type="dxa"/>
            <w:tcMar>
              <w:top w:w="0" w:type="dxa"/>
              <w:bottom w:w="0" w:type="dxa"/>
            </w:tcMar>
            <w:vAlign w:val="center"/>
          </w:tcPr>
          <w:p w:rsidR="00E4472F" w:rsidRDefault="00000000">
            <w:pPr>
              <w:keepNext/>
              <w:keepLines/>
              <w:spacing w:after="0" w:line="240" w:lineRule="auto"/>
              <w:jc w:val="right"/>
            </w:pPr>
            <w:r>
              <w:rPr>
                <w:sz w:val="18"/>
              </w:rPr>
              <w:t>163,1</w:t>
            </w:r>
          </w:p>
        </w:tc>
      </w:tr>
    </w:tbl>
    <w:p w:rsidR="00E4472F" w:rsidRDefault="00E4472F">
      <w:pPr>
        <w:spacing w:after="0"/>
      </w:pPr>
    </w:p>
    <w:p w:rsidR="00E4472F" w:rsidRDefault="00000000">
      <w:r>
        <w:t>Pomoći iz inozemstva i od subjekata unutar općeg proračuna (razred 63) u 2025. godini iznose 2.364.868,82 eura, što predstavlja povećanje od 63,1 % u odnosu na 2024. godinu, kada su iznosile 1.450.202,23 eura. Povećanje navedenih pomoći odnosi se na veći iznos namjenskih pomoći od HZZO-a za podmirenje dospjelih obveza prema dobavljačima lijekova i potrošnog medicinskog materijala, doznačenih u izvještajnom razdoblju.</w:t>
      </w:r>
    </w:p>
    <w:p w:rsidR="00E4472F" w:rsidRDefault="00E4472F"/>
    <w:p w:rsidR="00E4472F" w:rsidRDefault="00000000">
      <w:pPr>
        <w:keepNext/>
        <w:spacing w:line="240" w:lineRule="auto"/>
        <w:jc w:val="center"/>
      </w:pPr>
      <w:r>
        <w:rPr>
          <w:sz w:val="28"/>
        </w:rPr>
        <w:t>Bilješka 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631</w:t>
            </w:r>
          </w:p>
        </w:tc>
        <w:tc>
          <w:tcPr>
            <w:tcW w:w="3180" w:type="dxa"/>
            <w:tcMar>
              <w:top w:w="0" w:type="dxa"/>
              <w:bottom w:w="0" w:type="dxa"/>
            </w:tcMar>
            <w:vAlign w:val="center"/>
          </w:tcPr>
          <w:p w:rsidR="00E4472F" w:rsidRDefault="00000000">
            <w:pPr>
              <w:keepNext/>
              <w:keepLines/>
              <w:spacing w:after="0" w:line="240" w:lineRule="auto"/>
            </w:pPr>
            <w:r>
              <w:rPr>
                <w:sz w:val="18"/>
              </w:rPr>
              <w:t>Pomoći od inozemnih vlada (šifre 6311+6312)</w:t>
            </w:r>
          </w:p>
        </w:tc>
        <w:tc>
          <w:tcPr>
            <w:tcW w:w="700" w:type="dxa"/>
            <w:tcMar>
              <w:top w:w="0" w:type="dxa"/>
              <w:bottom w:w="0" w:type="dxa"/>
            </w:tcMar>
            <w:vAlign w:val="center"/>
          </w:tcPr>
          <w:p w:rsidR="00E4472F" w:rsidRDefault="00000000">
            <w:pPr>
              <w:keepNext/>
              <w:keepLines/>
              <w:spacing w:after="0" w:line="240" w:lineRule="auto"/>
            </w:pPr>
            <w:r>
              <w:rPr>
                <w:sz w:val="18"/>
              </w:rPr>
              <w:t>631</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84.672,93</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pPr>
        <w:jc w:val="both"/>
      </w:pPr>
      <w:r>
        <w:t xml:space="preserve">U 2025. godini prihodi ostvareni u okviru projekta </w:t>
      </w:r>
      <w:proofErr w:type="spellStart"/>
      <w:r>
        <w:t>Horizon</w:t>
      </w:r>
      <w:proofErr w:type="spellEnd"/>
      <w:r>
        <w:t xml:space="preserve"> Europe – ENCANTO evidentirani u okviru stavke prihoda 631 Pomoći od inozemnih vlada i iznosili su 84.672,93 eura. Navedeni prihodi odnose se na sredstva ostvarena temeljem odobrenog izvješća predanog Europskoj komisiji za prvo projektno razdoblje u okviru projekta </w:t>
      </w:r>
      <w:proofErr w:type="spellStart"/>
      <w:r>
        <w:t>Horizon</w:t>
      </w:r>
      <w:proofErr w:type="spellEnd"/>
      <w:r>
        <w:t xml:space="preserve"> Europe – ENCANTO, koji Bolnica provodi od 2024. godine. U svibnju 2025. godine Ministarstvo financija donijelo je Uputu za računovodstveno evidentiranje sredstava Europske unije kao i posebnu uputu za oznake izvora financiranja iz EU sredstva temeljem koje je izmijenjena stavka rashoda na kojoj se odobreni prihodi evidentiraju, kao i metodologija knjiženja EU sredstava koje je Bolnica ostvarila u 2025. godini u okviru programa </w:t>
      </w:r>
      <w:proofErr w:type="spellStart"/>
      <w:r>
        <w:t>Horizon</w:t>
      </w:r>
      <w:proofErr w:type="spellEnd"/>
      <w:r>
        <w:t xml:space="preserve"> Europe – ENCANTO.</w:t>
      </w:r>
    </w:p>
    <w:p w:rsidR="00E4472F" w:rsidRDefault="00E4472F"/>
    <w:p w:rsidR="00E4472F" w:rsidRDefault="00000000">
      <w:pPr>
        <w:keepNext/>
        <w:spacing w:line="240" w:lineRule="auto"/>
        <w:jc w:val="center"/>
      </w:pPr>
      <w:r>
        <w:rPr>
          <w:sz w:val="28"/>
        </w:rPr>
        <w:lastRenderedPageBreak/>
        <w:t>Bilješka 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6311</w:t>
            </w:r>
          </w:p>
        </w:tc>
        <w:tc>
          <w:tcPr>
            <w:tcW w:w="3180" w:type="dxa"/>
            <w:tcMar>
              <w:top w:w="0" w:type="dxa"/>
              <w:bottom w:w="0" w:type="dxa"/>
            </w:tcMar>
            <w:vAlign w:val="center"/>
          </w:tcPr>
          <w:p w:rsidR="00E4472F" w:rsidRDefault="00000000">
            <w:pPr>
              <w:keepNext/>
              <w:keepLines/>
              <w:spacing w:after="0" w:line="240" w:lineRule="auto"/>
            </w:pPr>
            <w:r>
              <w:rPr>
                <w:sz w:val="18"/>
              </w:rPr>
              <w:t>Tekuće pomoći od inozemnih vlada</w:t>
            </w:r>
          </w:p>
        </w:tc>
        <w:tc>
          <w:tcPr>
            <w:tcW w:w="700" w:type="dxa"/>
            <w:tcMar>
              <w:top w:w="0" w:type="dxa"/>
              <w:bottom w:w="0" w:type="dxa"/>
            </w:tcMar>
            <w:vAlign w:val="center"/>
          </w:tcPr>
          <w:p w:rsidR="00E4472F" w:rsidRDefault="00000000">
            <w:pPr>
              <w:keepNext/>
              <w:keepLines/>
              <w:spacing w:after="0" w:line="240" w:lineRule="auto"/>
            </w:pPr>
            <w:r>
              <w:rPr>
                <w:sz w:val="18"/>
              </w:rPr>
              <w:t>6311</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84.672,93</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pPr>
        <w:jc w:val="both"/>
      </w:pPr>
      <w:r>
        <w:t xml:space="preserve">U 2025. godini prihodi ostvareni u okviru projekta </w:t>
      </w:r>
      <w:proofErr w:type="spellStart"/>
      <w:r>
        <w:t>Horizon</w:t>
      </w:r>
      <w:proofErr w:type="spellEnd"/>
      <w:r>
        <w:t xml:space="preserve"> Europe – ENCANTO evidentirani u okviru stavke prihoda 631 Pomoći od inozemnih vlada i iznosili su 84.672,93 eura. Navedeni prihodi odnose se na sredstva ostvarena temeljem odobrenog izvješća predanog Europskoj komisiji za prvo projektno razdoblje u okviru projekta </w:t>
      </w:r>
      <w:proofErr w:type="spellStart"/>
      <w:r>
        <w:t>Horizon</w:t>
      </w:r>
      <w:proofErr w:type="spellEnd"/>
      <w:r>
        <w:t xml:space="preserve"> Europe – ENCANTO, koji Bolnica provodi od 2024. godine. U 2024. godini ukupno uplaćeni predujam za provedbu navedenog projekta evidentiran je u okviru stavke prihoda 632 Pomoći od međunarodnih organizacija te institucija i tijela Europske unije u iznosu od 186.283,13 eura, sukladno tada važećim računovodstvenim uputama. U okviru projekta </w:t>
      </w:r>
      <w:proofErr w:type="spellStart"/>
      <w:r>
        <w:t>Horizon</w:t>
      </w:r>
      <w:proofErr w:type="spellEnd"/>
      <w:r>
        <w:t xml:space="preserve"> Europe – ENCANTO, Bolnica sudjeluje kao projektni partner u kliničkoj studiji za liječenje </w:t>
      </w:r>
      <w:proofErr w:type="spellStart"/>
      <w:r>
        <w:t>osteoartritisa</w:t>
      </w:r>
      <w:proofErr w:type="spellEnd"/>
      <w:r>
        <w:t xml:space="preserve"> koljena, dok je nositelj projekta </w:t>
      </w:r>
      <w:proofErr w:type="spellStart"/>
      <w:r>
        <w:t>Fondazione</w:t>
      </w:r>
      <w:proofErr w:type="spellEnd"/>
      <w:r>
        <w:t xml:space="preserve"> </w:t>
      </w:r>
      <w:proofErr w:type="spellStart"/>
      <w:r>
        <w:t>Policlinico</w:t>
      </w:r>
      <w:proofErr w:type="spellEnd"/>
      <w:r>
        <w:t xml:space="preserve"> </w:t>
      </w:r>
      <w:proofErr w:type="spellStart"/>
      <w:r>
        <w:t>Universitario</w:t>
      </w:r>
      <w:proofErr w:type="spellEnd"/>
      <w:r>
        <w:t xml:space="preserve"> </w:t>
      </w:r>
      <w:proofErr w:type="spellStart"/>
      <w:r>
        <w:t>Campus</w:t>
      </w:r>
      <w:proofErr w:type="spellEnd"/>
      <w:r>
        <w:t xml:space="preserve"> Bio-Medico, Italija (Zaklada sveučilišne poliklinike </w:t>
      </w:r>
      <w:proofErr w:type="spellStart"/>
      <w:r>
        <w:t>Campus</w:t>
      </w:r>
      <w:proofErr w:type="spellEnd"/>
      <w:r>
        <w:t xml:space="preserve"> Bio-Medico), koji Bolnici doznačuje sredstva za provedbu projekta.</w:t>
      </w:r>
    </w:p>
    <w:p w:rsidR="00E4472F" w:rsidRDefault="00000000">
      <w:r>
        <w:t> </w:t>
      </w:r>
    </w:p>
    <w:p w:rsidR="00E4472F" w:rsidRDefault="00E4472F"/>
    <w:p w:rsidR="00E4472F" w:rsidRDefault="00000000">
      <w:pPr>
        <w:keepNext/>
        <w:spacing w:line="240" w:lineRule="auto"/>
        <w:jc w:val="center"/>
      </w:pPr>
      <w:r>
        <w:rPr>
          <w:sz w:val="28"/>
        </w:rPr>
        <w:t>Bilješka 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634</w:t>
            </w:r>
          </w:p>
        </w:tc>
        <w:tc>
          <w:tcPr>
            <w:tcW w:w="3180" w:type="dxa"/>
            <w:tcMar>
              <w:top w:w="0" w:type="dxa"/>
              <w:bottom w:w="0" w:type="dxa"/>
            </w:tcMar>
            <w:vAlign w:val="center"/>
          </w:tcPr>
          <w:p w:rsidR="00E4472F" w:rsidRDefault="00000000">
            <w:pPr>
              <w:keepNext/>
              <w:keepLines/>
              <w:spacing w:after="0" w:line="240" w:lineRule="auto"/>
            </w:pPr>
            <w:r>
              <w:rPr>
                <w:sz w:val="18"/>
              </w:rPr>
              <w:t>Pomoći od izvanproračunskih korisnika (šifre 6341+6342)</w:t>
            </w:r>
          </w:p>
        </w:tc>
        <w:tc>
          <w:tcPr>
            <w:tcW w:w="700" w:type="dxa"/>
            <w:tcMar>
              <w:top w:w="0" w:type="dxa"/>
              <w:bottom w:w="0" w:type="dxa"/>
            </w:tcMar>
            <w:vAlign w:val="center"/>
          </w:tcPr>
          <w:p w:rsidR="00E4472F" w:rsidRDefault="00000000">
            <w:pPr>
              <w:keepNext/>
              <w:keepLines/>
              <w:spacing w:after="0" w:line="240" w:lineRule="auto"/>
            </w:pPr>
            <w:r>
              <w:rPr>
                <w:sz w:val="18"/>
              </w:rPr>
              <w:t>634</w:t>
            </w:r>
          </w:p>
        </w:tc>
        <w:tc>
          <w:tcPr>
            <w:tcW w:w="1860" w:type="dxa"/>
            <w:tcMar>
              <w:top w:w="0" w:type="dxa"/>
              <w:bottom w:w="0" w:type="dxa"/>
            </w:tcMar>
            <w:vAlign w:val="center"/>
          </w:tcPr>
          <w:p w:rsidR="00E4472F" w:rsidRDefault="00000000">
            <w:pPr>
              <w:keepNext/>
              <w:keepLines/>
              <w:spacing w:after="0" w:line="240" w:lineRule="auto"/>
              <w:jc w:val="right"/>
            </w:pPr>
            <w:r>
              <w:rPr>
                <w:sz w:val="18"/>
              </w:rPr>
              <w:t>640.755,29</w:t>
            </w:r>
          </w:p>
        </w:tc>
        <w:tc>
          <w:tcPr>
            <w:tcW w:w="1860" w:type="dxa"/>
            <w:tcMar>
              <w:top w:w="0" w:type="dxa"/>
              <w:bottom w:w="0" w:type="dxa"/>
            </w:tcMar>
            <w:vAlign w:val="center"/>
          </w:tcPr>
          <w:p w:rsidR="00E4472F" w:rsidRDefault="00000000">
            <w:pPr>
              <w:keepNext/>
              <w:keepLines/>
              <w:spacing w:after="0" w:line="240" w:lineRule="auto"/>
              <w:jc w:val="right"/>
            </w:pPr>
            <w:r>
              <w:rPr>
                <w:sz w:val="18"/>
              </w:rPr>
              <w:t>2.249.252,00</w:t>
            </w:r>
          </w:p>
        </w:tc>
        <w:tc>
          <w:tcPr>
            <w:tcW w:w="700" w:type="dxa"/>
            <w:tcMar>
              <w:top w:w="0" w:type="dxa"/>
              <w:bottom w:w="0" w:type="dxa"/>
            </w:tcMar>
            <w:vAlign w:val="center"/>
          </w:tcPr>
          <w:p w:rsidR="00E4472F" w:rsidRDefault="00000000">
            <w:pPr>
              <w:keepNext/>
              <w:keepLines/>
              <w:spacing w:after="0" w:line="240" w:lineRule="auto"/>
              <w:jc w:val="right"/>
            </w:pPr>
            <w:r>
              <w:rPr>
                <w:sz w:val="18"/>
              </w:rPr>
              <w:t>351,0</w:t>
            </w:r>
          </w:p>
        </w:tc>
      </w:tr>
    </w:tbl>
    <w:p w:rsidR="00E4472F" w:rsidRDefault="00E4472F">
      <w:pPr>
        <w:spacing w:after="0"/>
      </w:pPr>
    </w:p>
    <w:p w:rsidR="00E4472F" w:rsidRDefault="00000000">
      <w:r>
        <w:t>Pomoći od izvanproračunskih korisnika u 2025. godini iznose 2.249.252,00 eura, što predstavlja povećanje od 251,0 % u odnosu na 2024. godinu, kada su iznosile 640.755,29 eura.</w:t>
      </w:r>
    </w:p>
    <w:p w:rsidR="00E4472F" w:rsidRDefault="00E4472F"/>
    <w:p w:rsidR="00E4472F" w:rsidRDefault="00000000">
      <w:pPr>
        <w:keepNext/>
        <w:spacing w:line="240" w:lineRule="auto"/>
        <w:jc w:val="center"/>
      </w:pPr>
      <w:r>
        <w:rPr>
          <w:sz w:val="28"/>
        </w:rPr>
        <w:t>Bilješka 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6341</w:t>
            </w:r>
          </w:p>
        </w:tc>
        <w:tc>
          <w:tcPr>
            <w:tcW w:w="3180" w:type="dxa"/>
            <w:tcMar>
              <w:top w:w="0" w:type="dxa"/>
              <w:bottom w:w="0" w:type="dxa"/>
            </w:tcMar>
            <w:vAlign w:val="center"/>
          </w:tcPr>
          <w:p w:rsidR="00E4472F" w:rsidRDefault="00000000">
            <w:pPr>
              <w:keepNext/>
              <w:keepLines/>
              <w:spacing w:after="0" w:line="240" w:lineRule="auto"/>
            </w:pPr>
            <w:r>
              <w:rPr>
                <w:sz w:val="18"/>
              </w:rPr>
              <w:t>Tekuće pomoći od izvanproračunskih korisnika</w:t>
            </w:r>
          </w:p>
        </w:tc>
        <w:tc>
          <w:tcPr>
            <w:tcW w:w="700" w:type="dxa"/>
            <w:tcMar>
              <w:top w:w="0" w:type="dxa"/>
              <w:bottom w:w="0" w:type="dxa"/>
            </w:tcMar>
            <w:vAlign w:val="center"/>
          </w:tcPr>
          <w:p w:rsidR="00E4472F" w:rsidRDefault="00000000">
            <w:pPr>
              <w:keepNext/>
              <w:keepLines/>
              <w:spacing w:after="0" w:line="240" w:lineRule="auto"/>
            </w:pPr>
            <w:r>
              <w:rPr>
                <w:sz w:val="18"/>
              </w:rPr>
              <w:t>6341</w:t>
            </w:r>
          </w:p>
        </w:tc>
        <w:tc>
          <w:tcPr>
            <w:tcW w:w="1860" w:type="dxa"/>
            <w:tcMar>
              <w:top w:w="0" w:type="dxa"/>
              <w:bottom w:w="0" w:type="dxa"/>
            </w:tcMar>
            <w:vAlign w:val="center"/>
          </w:tcPr>
          <w:p w:rsidR="00E4472F" w:rsidRDefault="00000000">
            <w:pPr>
              <w:keepNext/>
              <w:keepLines/>
              <w:spacing w:after="0" w:line="240" w:lineRule="auto"/>
              <w:jc w:val="right"/>
            </w:pPr>
            <w:r>
              <w:rPr>
                <w:sz w:val="18"/>
              </w:rPr>
              <w:t>640.755,29</w:t>
            </w:r>
          </w:p>
        </w:tc>
        <w:tc>
          <w:tcPr>
            <w:tcW w:w="1860" w:type="dxa"/>
            <w:tcMar>
              <w:top w:w="0" w:type="dxa"/>
              <w:bottom w:w="0" w:type="dxa"/>
            </w:tcMar>
            <w:vAlign w:val="center"/>
          </w:tcPr>
          <w:p w:rsidR="00E4472F" w:rsidRDefault="00000000">
            <w:pPr>
              <w:keepNext/>
              <w:keepLines/>
              <w:spacing w:after="0" w:line="240" w:lineRule="auto"/>
              <w:jc w:val="right"/>
            </w:pPr>
            <w:r>
              <w:rPr>
                <w:sz w:val="18"/>
              </w:rPr>
              <w:t>2.249.252,00</w:t>
            </w:r>
          </w:p>
        </w:tc>
        <w:tc>
          <w:tcPr>
            <w:tcW w:w="700" w:type="dxa"/>
            <w:tcMar>
              <w:top w:w="0" w:type="dxa"/>
              <w:bottom w:w="0" w:type="dxa"/>
            </w:tcMar>
            <w:vAlign w:val="center"/>
          </w:tcPr>
          <w:p w:rsidR="00E4472F" w:rsidRDefault="00000000">
            <w:pPr>
              <w:keepNext/>
              <w:keepLines/>
              <w:spacing w:after="0" w:line="240" w:lineRule="auto"/>
              <w:jc w:val="right"/>
            </w:pPr>
            <w:r>
              <w:rPr>
                <w:sz w:val="18"/>
              </w:rPr>
              <w:t>351,0</w:t>
            </w:r>
          </w:p>
        </w:tc>
      </w:tr>
    </w:tbl>
    <w:p w:rsidR="00E4472F" w:rsidRDefault="00E4472F">
      <w:pPr>
        <w:spacing w:after="0"/>
      </w:pPr>
    </w:p>
    <w:p w:rsidR="00E4472F" w:rsidRDefault="00000000">
      <w:pPr>
        <w:jc w:val="both"/>
      </w:pPr>
      <w:r>
        <w:t xml:space="preserve">U okviru konta 6341 Tekuće pomoći od izvanproračunskih korisnika, Bolnica je u 2025. godini ostvarila prihode u iznosu od 2.249.252,00 eura od HZZO-a. Navedena sredstva doznačena su temeljem Odluke Vlade Republike Hrvatske o isplati namjenske pomoći bolničkim zdravstvenim ustanovama za podmirenje dijela dospjelih obveza prema </w:t>
      </w:r>
      <w:r>
        <w:lastRenderedPageBreak/>
        <w:t>dobavljačima lijekova, potrošnog i ugradbenog medicinskog materijala (KLASA: 022-03/25-04/413; URBROJ: 50301-04/25-25-3 od 26. rujna 2025. godine). U 2024. godini, u okviru konta 6341 Tekuće pomoći od izvanproračunskih korisnika, evidentirane su refundacije sredstava HZZO-a Bolnici u ukupnom iznosu od 640.755,29 eura, i to za plaće pripravnika i rad pod nadzorom u iznosu od 74.556,03 eura, za isplatu nagrade u visini 10 % osnovne plaće za rad s COVID-19 pacijentima, temeljem Odluke Vlade Republike Hrvatske, u iznosu od 54.316,34 eura, za pripravnike u iznosu od 156.247,92 eura, te namjensku pomoć za financiranje dijela dospjelih obveza prema dobavljačima lijekova i potrošnog medicinskog materijala u iznosu od 355.635,00 eura. Sukladno uputi nadležnog ministarstva, refundacije sredstava HZZO-a za pripravnike i rad pod nadzorom u 2025. godini evidentiraju se na odjeljku 673 Prihodi od HZZO-a na temelju ugovornih obveza, u okviru izvora financiranja 43 Ostali prihodi za posebne namjene.</w:t>
      </w:r>
    </w:p>
    <w:p w:rsidR="00E4472F" w:rsidRDefault="00E4472F"/>
    <w:p w:rsidR="00E4472F" w:rsidRDefault="00000000">
      <w:pPr>
        <w:keepNext/>
        <w:spacing w:line="240" w:lineRule="auto"/>
        <w:jc w:val="center"/>
      </w:pPr>
      <w:r>
        <w:rPr>
          <w:sz w:val="28"/>
        </w:rPr>
        <w:t>Bilješka 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636</w:t>
            </w:r>
          </w:p>
        </w:tc>
        <w:tc>
          <w:tcPr>
            <w:tcW w:w="3180" w:type="dxa"/>
            <w:tcMar>
              <w:top w:w="0" w:type="dxa"/>
              <w:bottom w:w="0" w:type="dxa"/>
            </w:tcMar>
            <w:vAlign w:val="center"/>
          </w:tcPr>
          <w:p w:rsidR="00E4472F" w:rsidRDefault="00000000">
            <w:pPr>
              <w:keepNext/>
              <w:keepLines/>
              <w:spacing w:after="0" w:line="240" w:lineRule="auto"/>
            </w:pPr>
            <w:r>
              <w:rPr>
                <w:sz w:val="18"/>
              </w:rPr>
              <w:t>Pomoći proračunskim korisnicima iz proračuna koji im nije nadležan (šifre 6361+6362)</w:t>
            </w:r>
          </w:p>
        </w:tc>
        <w:tc>
          <w:tcPr>
            <w:tcW w:w="700" w:type="dxa"/>
            <w:tcMar>
              <w:top w:w="0" w:type="dxa"/>
              <w:bottom w:w="0" w:type="dxa"/>
            </w:tcMar>
            <w:vAlign w:val="center"/>
          </w:tcPr>
          <w:p w:rsidR="00E4472F" w:rsidRDefault="00000000">
            <w:pPr>
              <w:keepNext/>
              <w:keepLines/>
              <w:spacing w:after="0" w:line="240" w:lineRule="auto"/>
            </w:pPr>
            <w:r>
              <w:rPr>
                <w:sz w:val="18"/>
              </w:rPr>
              <w:t>636</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30.943,89</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r>
        <w:t>Pomoći proračunskim korisnicima iz proračuna koji im nije nadležan u 2025. godini iznose 30.943,89 eura, dok u 2024. godini po navedenoj osnovi nije bilo ostvarenih prihoda. </w:t>
      </w:r>
    </w:p>
    <w:p w:rsidR="00E4472F" w:rsidRDefault="00E4472F"/>
    <w:p w:rsidR="00E4472F" w:rsidRDefault="00000000">
      <w:pPr>
        <w:keepNext/>
        <w:spacing w:line="240" w:lineRule="auto"/>
        <w:jc w:val="center"/>
      </w:pPr>
      <w:r>
        <w:rPr>
          <w:sz w:val="28"/>
        </w:rPr>
        <w:t>Bilješka 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6361</w:t>
            </w:r>
          </w:p>
        </w:tc>
        <w:tc>
          <w:tcPr>
            <w:tcW w:w="3180" w:type="dxa"/>
            <w:tcMar>
              <w:top w:w="0" w:type="dxa"/>
              <w:bottom w:w="0" w:type="dxa"/>
            </w:tcMar>
            <w:vAlign w:val="center"/>
          </w:tcPr>
          <w:p w:rsidR="00E4472F" w:rsidRDefault="00000000">
            <w:pPr>
              <w:keepNext/>
              <w:keepLines/>
              <w:spacing w:after="0" w:line="240" w:lineRule="auto"/>
            </w:pPr>
            <w:r>
              <w:rPr>
                <w:sz w:val="18"/>
              </w:rPr>
              <w:t>Tekuće pomoći proračunskim korisnicima iz proračuna koji im nije nadležan</w:t>
            </w:r>
          </w:p>
        </w:tc>
        <w:tc>
          <w:tcPr>
            <w:tcW w:w="700" w:type="dxa"/>
            <w:tcMar>
              <w:top w:w="0" w:type="dxa"/>
              <w:bottom w:w="0" w:type="dxa"/>
            </w:tcMar>
            <w:vAlign w:val="center"/>
          </w:tcPr>
          <w:p w:rsidR="00E4472F" w:rsidRDefault="00000000">
            <w:pPr>
              <w:keepNext/>
              <w:keepLines/>
              <w:spacing w:after="0" w:line="240" w:lineRule="auto"/>
            </w:pPr>
            <w:r>
              <w:rPr>
                <w:sz w:val="18"/>
              </w:rPr>
              <w:t>6361</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15.943,89</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pPr>
        <w:jc w:val="both"/>
      </w:pPr>
      <w:r>
        <w:t>U 2025. godini Bolnica je evidentirala prihode u iznosu od 15.943,89 eura, koji se odnose na sredstva doznačena iz proračuna Grada Zagreba temeljem Zaključka Gradske skupštine od 24. prosinca 2025. godine. Navedena sredstva odnose se na refundaciju troškova tekućeg (redovnog) upravljanja i održavanja zgrade Dnevne bolnice s podzemnom garažom. </w:t>
      </w:r>
    </w:p>
    <w:p w:rsidR="00E4472F" w:rsidRDefault="00E4472F"/>
    <w:p w:rsidR="00E4472F" w:rsidRDefault="00000000">
      <w:pPr>
        <w:keepNext/>
        <w:spacing w:line="240" w:lineRule="auto"/>
        <w:jc w:val="center"/>
      </w:pPr>
      <w:r>
        <w:rPr>
          <w:sz w:val="28"/>
        </w:rPr>
        <w:t>Bilješka 10.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6362</w:t>
            </w:r>
          </w:p>
        </w:tc>
        <w:tc>
          <w:tcPr>
            <w:tcW w:w="3180" w:type="dxa"/>
            <w:tcMar>
              <w:top w:w="0" w:type="dxa"/>
              <w:bottom w:w="0" w:type="dxa"/>
            </w:tcMar>
            <w:vAlign w:val="center"/>
          </w:tcPr>
          <w:p w:rsidR="00E4472F" w:rsidRDefault="00000000">
            <w:pPr>
              <w:keepNext/>
              <w:keepLines/>
              <w:spacing w:after="0" w:line="240" w:lineRule="auto"/>
            </w:pPr>
            <w:r>
              <w:rPr>
                <w:sz w:val="18"/>
              </w:rPr>
              <w:t>Kapitalne pomoći proračunskim korisnicima iz proračuna koji im nije nadležan</w:t>
            </w:r>
          </w:p>
        </w:tc>
        <w:tc>
          <w:tcPr>
            <w:tcW w:w="700" w:type="dxa"/>
            <w:tcMar>
              <w:top w:w="0" w:type="dxa"/>
              <w:bottom w:w="0" w:type="dxa"/>
            </w:tcMar>
            <w:vAlign w:val="center"/>
          </w:tcPr>
          <w:p w:rsidR="00E4472F" w:rsidRDefault="00000000">
            <w:pPr>
              <w:keepNext/>
              <w:keepLines/>
              <w:spacing w:after="0" w:line="240" w:lineRule="auto"/>
            </w:pPr>
            <w:r>
              <w:rPr>
                <w:sz w:val="18"/>
              </w:rPr>
              <w:t>6362</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15.000,00</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pPr>
        <w:jc w:val="both"/>
      </w:pPr>
      <w:r>
        <w:lastRenderedPageBreak/>
        <w:t xml:space="preserve">U 2025. godini Bolnica je ostvarila prihode u iznosu od 15.000,00 eura, doznačene iz proračuna Zagrebačke županije, temeljem Ugovora o sufinanciranju nabave medicinske i laboratorijske opreme, KLASA: 530-01/25-01/4; URBROJ: 238-13-01/4-25-5 od 9. travnja 2025. godine. Navedena sredstva odnose se na sufinanciranje dijela troškova nabave sljedeće laboratorijske i dijagnostičke medicinske opreme: </w:t>
      </w:r>
      <w:proofErr w:type="spellStart"/>
      <w:r>
        <w:t>termomikser</w:t>
      </w:r>
      <w:proofErr w:type="spellEnd"/>
      <w:r>
        <w:t xml:space="preserve"> s </w:t>
      </w:r>
      <w:proofErr w:type="spellStart"/>
      <w:r>
        <w:t>termoblokom</w:t>
      </w:r>
      <w:proofErr w:type="spellEnd"/>
      <w:r>
        <w:t xml:space="preserve">, magnetni stalci za pripremu DNA biblioteka, PT LINK, </w:t>
      </w:r>
      <w:proofErr w:type="spellStart"/>
      <w:r>
        <w:t>mikrocentrifuga</w:t>
      </w:r>
      <w:proofErr w:type="spellEnd"/>
      <w:r>
        <w:t xml:space="preserve"> za epruvete i laboratorijski hladnjaci.</w:t>
      </w:r>
    </w:p>
    <w:p w:rsidR="00E4472F" w:rsidRDefault="00E4472F"/>
    <w:p w:rsidR="00E4472F" w:rsidRDefault="00000000">
      <w:pPr>
        <w:keepNext/>
        <w:spacing w:line="240" w:lineRule="auto"/>
        <w:jc w:val="center"/>
      </w:pPr>
      <w:r>
        <w:rPr>
          <w:sz w:val="28"/>
        </w:rPr>
        <w:t>Bilješka 11.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639</w:t>
            </w:r>
          </w:p>
        </w:tc>
        <w:tc>
          <w:tcPr>
            <w:tcW w:w="3180" w:type="dxa"/>
            <w:tcMar>
              <w:top w:w="0" w:type="dxa"/>
              <w:bottom w:w="0" w:type="dxa"/>
            </w:tcMar>
            <w:vAlign w:val="center"/>
          </w:tcPr>
          <w:p w:rsidR="00E4472F" w:rsidRDefault="00000000">
            <w:pPr>
              <w:keepNext/>
              <w:keepLines/>
              <w:spacing w:after="0" w:line="240" w:lineRule="auto"/>
            </w:pPr>
            <w:r>
              <w:rPr>
                <w:sz w:val="18"/>
              </w:rPr>
              <w:t>Prijenosi između proračunskih korisnika istog proračuna (šifre 6391 do 6394)</w:t>
            </w:r>
          </w:p>
        </w:tc>
        <w:tc>
          <w:tcPr>
            <w:tcW w:w="700" w:type="dxa"/>
            <w:tcMar>
              <w:top w:w="0" w:type="dxa"/>
              <w:bottom w:w="0" w:type="dxa"/>
            </w:tcMar>
            <w:vAlign w:val="center"/>
          </w:tcPr>
          <w:p w:rsidR="00E4472F" w:rsidRDefault="00000000">
            <w:pPr>
              <w:keepNext/>
              <w:keepLines/>
              <w:spacing w:after="0" w:line="240" w:lineRule="auto"/>
            </w:pPr>
            <w:r>
              <w:rPr>
                <w:sz w:val="18"/>
              </w:rPr>
              <w:t>639</w:t>
            </w:r>
          </w:p>
        </w:tc>
        <w:tc>
          <w:tcPr>
            <w:tcW w:w="1860" w:type="dxa"/>
            <w:tcMar>
              <w:top w:w="0" w:type="dxa"/>
              <w:bottom w:w="0" w:type="dxa"/>
            </w:tcMar>
            <w:vAlign w:val="center"/>
          </w:tcPr>
          <w:p w:rsidR="00E4472F" w:rsidRDefault="00000000">
            <w:pPr>
              <w:keepNext/>
              <w:keepLines/>
              <w:spacing w:after="0" w:line="240" w:lineRule="auto"/>
              <w:jc w:val="right"/>
            </w:pPr>
            <w:r>
              <w:rPr>
                <w:sz w:val="18"/>
              </w:rPr>
              <w:t>623.163,81</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700" w:type="dxa"/>
            <w:tcMar>
              <w:top w:w="0" w:type="dxa"/>
              <w:bottom w:w="0" w:type="dxa"/>
            </w:tcMar>
            <w:vAlign w:val="center"/>
          </w:tcPr>
          <w:p w:rsidR="00E4472F" w:rsidRDefault="00000000">
            <w:pPr>
              <w:keepNext/>
              <w:keepLines/>
              <w:spacing w:after="0" w:line="240" w:lineRule="auto"/>
              <w:jc w:val="right"/>
            </w:pPr>
            <w:r>
              <w:rPr>
                <w:sz w:val="18"/>
              </w:rPr>
              <w:t>0</w:t>
            </w:r>
          </w:p>
        </w:tc>
      </w:tr>
    </w:tbl>
    <w:p w:rsidR="00E4472F" w:rsidRDefault="00E4472F">
      <w:pPr>
        <w:spacing w:after="0"/>
      </w:pPr>
    </w:p>
    <w:p w:rsidR="00E4472F" w:rsidRDefault="00000000">
      <w:pPr>
        <w:jc w:val="both"/>
      </w:pPr>
      <w:r>
        <w:t xml:space="preserve">U 2024. godini Bolnica je u okviru konta 6392, 6393 i 6394 evidentirala prihode od prijenosa sredstava između proračunskih korisnika istog proračuna, koji se odnose na sredstva doznačena od Ministarstva zdravstva i Ministarstva znanosti i obrazovanja za nacionalno sufinanciranje i provedbu EU projekata, uključujući projekt „Opremanje dnevne bolnice i jednodnevne kirurgije Kliničke bolnice Sveti Duh“ te projekt „Dijagnostički značaj </w:t>
      </w:r>
      <w:proofErr w:type="spellStart"/>
      <w:r>
        <w:t>kalprotektina</w:t>
      </w:r>
      <w:proofErr w:type="spellEnd"/>
      <w:r>
        <w:t xml:space="preserve"> u ranom prepoznavanju upalnih stanja“. U 2025. godini Bolnica nije ostvarila prihode po osnovi prijenosa sredstava između proračunskih korisnika istog proračuna.</w:t>
      </w:r>
    </w:p>
    <w:p w:rsidR="00E4472F" w:rsidRDefault="00E4472F"/>
    <w:p w:rsidR="00E4472F" w:rsidRDefault="00000000">
      <w:pPr>
        <w:keepNext/>
        <w:spacing w:line="240" w:lineRule="auto"/>
        <w:jc w:val="center"/>
      </w:pPr>
      <w:r>
        <w:rPr>
          <w:sz w:val="28"/>
        </w:rPr>
        <w:t>Bilješka 12.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64</w:t>
            </w:r>
          </w:p>
        </w:tc>
        <w:tc>
          <w:tcPr>
            <w:tcW w:w="3180" w:type="dxa"/>
            <w:tcMar>
              <w:top w:w="0" w:type="dxa"/>
              <w:bottom w:w="0" w:type="dxa"/>
            </w:tcMar>
            <w:vAlign w:val="center"/>
          </w:tcPr>
          <w:p w:rsidR="00E4472F" w:rsidRDefault="00000000">
            <w:pPr>
              <w:keepNext/>
              <w:keepLines/>
              <w:spacing w:after="0" w:line="240" w:lineRule="auto"/>
            </w:pPr>
            <w:r>
              <w:rPr>
                <w:sz w:val="18"/>
              </w:rPr>
              <w:t>Prihodi od imovine (šifre 641+642+643)</w:t>
            </w:r>
          </w:p>
        </w:tc>
        <w:tc>
          <w:tcPr>
            <w:tcW w:w="700" w:type="dxa"/>
            <w:tcMar>
              <w:top w:w="0" w:type="dxa"/>
              <w:bottom w:w="0" w:type="dxa"/>
            </w:tcMar>
            <w:vAlign w:val="center"/>
          </w:tcPr>
          <w:p w:rsidR="00E4472F" w:rsidRDefault="00000000">
            <w:pPr>
              <w:keepNext/>
              <w:keepLines/>
              <w:spacing w:after="0" w:line="240" w:lineRule="auto"/>
            </w:pPr>
            <w:r>
              <w:rPr>
                <w:sz w:val="18"/>
              </w:rPr>
              <w:t>64</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1.943,84</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r>
        <w:t>U 2025. godini Bolnica je ostvarila prihode od zateznih kamata u iznosu od 1.943,84 eura, dok u prethodnom izvještajnom razdoblju nisu ostvareni prihodi od imovine.</w:t>
      </w:r>
    </w:p>
    <w:p w:rsidR="00E4472F" w:rsidRDefault="00E4472F"/>
    <w:p w:rsidR="00E4472F" w:rsidRDefault="00000000">
      <w:pPr>
        <w:keepNext/>
        <w:spacing w:line="240" w:lineRule="auto"/>
        <w:jc w:val="center"/>
      </w:pPr>
      <w:r>
        <w:rPr>
          <w:sz w:val="28"/>
        </w:rPr>
        <w:t>Bilješka 13.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641</w:t>
            </w:r>
          </w:p>
        </w:tc>
        <w:tc>
          <w:tcPr>
            <w:tcW w:w="3180" w:type="dxa"/>
            <w:tcMar>
              <w:top w:w="0" w:type="dxa"/>
              <w:bottom w:w="0" w:type="dxa"/>
            </w:tcMar>
            <w:vAlign w:val="center"/>
          </w:tcPr>
          <w:p w:rsidR="00E4472F" w:rsidRDefault="00000000">
            <w:pPr>
              <w:keepNext/>
              <w:keepLines/>
              <w:spacing w:after="0" w:line="240" w:lineRule="auto"/>
            </w:pPr>
            <w:r>
              <w:rPr>
                <w:sz w:val="18"/>
              </w:rPr>
              <w:t>Prihodi od financijske imovine (šifre 6412 do 6419)</w:t>
            </w:r>
          </w:p>
        </w:tc>
        <w:tc>
          <w:tcPr>
            <w:tcW w:w="700" w:type="dxa"/>
            <w:tcMar>
              <w:top w:w="0" w:type="dxa"/>
              <w:bottom w:w="0" w:type="dxa"/>
            </w:tcMar>
            <w:vAlign w:val="center"/>
          </w:tcPr>
          <w:p w:rsidR="00E4472F" w:rsidRDefault="00000000">
            <w:pPr>
              <w:keepNext/>
              <w:keepLines/>
              <w:spacing w:after="0" w:line="240" w:lineRule="auto"/>
            </w:pPr>
            <w:r>
              <w:rPr>
                <w:sz w:val="18"/>
              </w:rPr>
              <w:t>641</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1.943,84</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r>
        <w:t xml:space="preserve">U 2025. godini Bolnica je ostvarila prihode od zateznih kamata u iznosu od 1.943,84 eura, a koji se odnose na obračunate zatezne kamate po provedenim postupcima naplate </w:t>
      </w:r>
      <w:r>
        <w:lastRenderedPageBreak/>
        <w:t>nepravodobno podmirenih potraživanja za pružene zdravstvene usluge, nakon isteka roka dospijeća plaćanja od strane fizičkih i pravnih osoba.</w:t>
      </w:r>
    </w:p>
    <w:p w:rsidR="00E4472F" w:rsidRDefault="00E4472F"/>
    <w:p w:rsidR="00E4472F" w:rsidRDefault="00000000">
      <w:pPr>
        <w:keepNext/>
        <w:spacing w:line="240" w:lineRule="auto"/>
        <w:jc w:val="center"/>
      </w:pPr>
      <w:r>
        <w:rPr>
          <w:sz w:val="28"/>
        </w:rPr>
        <w:t>Bilješka 14.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6414</w:t>
            </w:r>
          </w:p>
        </w:tc>
        <w:tc>
          <w:tcPr>
            <w:tcW w:w="3180" w:type="dxa"/>
            <w:tcMar>
              <w:top w:w="0" w:type="dxa"/>
              <w:bottom w:w="0" w:type="dxa"/>
            </w:tcMar>
            <w:vAlign w:val="center"/>
          </w:tcPr>
          <w:p w:rsidR="00E4472F" w:rsidRDefault="00000000">
            <w:pPr>
              <w:keepNext/>
              <w:keepLines/>
              <w:spacing w:after="0" w:line="240" w:lineRule="auto"/>
            </w:pPr>
            <w:r>
              <w:rPr>
                <w:sz w:val="18"/>
              </w:rPr>
              <w:t>Prihodi od zateznih kamata</w:t>
            </w:r>
          </w:p>
        </w:tc>
        <w:tc>
          <w:tcPr>
            <w:tcW w:w="700" w:type="dxa"/>
            <w:tcMar>
              <w:top w:w="0" w:type="dxa"/>
              <w:bottom w:w="0" w:type="dxa"/>
            </w:tcMar>
            <w:vAlign w:val="center"/>
          </w:tcPr>
          <w:p w:rsidR="00E4472F" w:rsidRDefault="00000000">
            <w:pPr>
              <w:keepNext/>
              <w:keepLines/>
              <w:spacing w:after="0" w:line="240" w:lineRule="auto"/>
            </w:pPr>
            <w:r>
              <w:rPr>
                <w:sz w:val="18"/>
              </w:rPr>
              <w:t>6414</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1.943,84</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rsidP="008D2B18">
      <w:pPr>
        <w:jc w:val="both"/>
      </w:pPr>
      <w:r>
        <w:t>U 2025. godini Bolnica je ostvarila prihode od zateznih kamata u iznosu od 1.943,84 eura, a koji se odnose na obračunate zatezne kamate po provedenim postupcima naplate nepravodobno podmirenih potraživanja za pružene zdravstvene usluge, nakon isteka roka dospijeća plaćanja od strane fizičkih i pravnih osoba.</w:t>
      </w:r>
    </w:p>
    <w:p w:rsidR="00E4472F" w:rsidRDefault="00E4472F"/>
    <w:p w:rsidR="00E4472F" w:rsidRDefault="00000000">
      <w:pPr>
        <w:keepNext/>
        <w:spacing w:line="240" w:lineRule="auto"/>
        <w:jc w:val="center"/>
      </w:pPr>
      <w:r>
        <w:rPr>
          <w:sz w:val="28"/>
        </w:rPr>
        <w:t>Bilješka 15.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65</w:t>
            </w:r>
          </w:p>
        </w:tc>
        <w:tc>
          <w:tcPr>
            <w:tcW w:w="3180" w:type="dxa"/>
            <w:tcMar>
              <w:top w:w="0" w:type="dxa"/>
              <w:bottom w:w="0" w:type="dxa"/>
            </w:tcMar>
            <w:vAlign w:val="center"/>
          </w:tcPr>
          <w:p w:rsidR="00E4472F" w:rsidRDefault="00000000">
            <w:pPr>
              <w:keepNext/>
              <w:keepLines/>
              <w:spacing w:after="0" w:line="240" w:lineRule="auto"/>
            </w:pPr>
            <w:r>
              <w:rPr>
                <w:sz w:val="18"/>
              </w:rPr>
              <w:t>Prihodi od upravnih i administrativnih pristojbi, pristojbi po posebnim propisima i naknada (šifre 651+652+653+654)</w:t>
            </w:r>
          </w:p>
        </w:tc>
        <w:tc>
          <w:tcPr>
            <w:tcW w:w="700" w:type="dxa"/>
            <w:tcMar>
              <w:top w:w="0" w:type="dxa"/>
              <w:bottom w:w="0" w:type="dxa"/>
            </w:tcMar>
            <w:vAlign w:val="center"/>
          </w:tcPr>
          <w:p w:rsidR="00E4472F" w:rsidRDefault="00000000">
            <w:pPr>
              <w:keepNext/>
              <w:keepLines/>
              <w:spacing w:after="0" w:line="240" w:lineRule="auto"/>
            </w:pPr>
            <w:r>
              <w:rPr>
                <w:sz w:val="18"/>
              </w:rPr>
              <w:t>65</w:t>
            </w:r>
          </w:p>
        </w:tc>
        <w:tc>
          <w:tcPr>
            <w:tcW w:w="1860" w:type="dxa"/>
            <w:tcMar>
              <w:top w:w="0" w:type="dxa"/>
              <w:bottom w:w="0" w:type="dxa"/>
            </w:tcMar>
            <w:vAlign w:val="center"/>
          </w:tcPr>
          <w:p w:rsidR="00E4472F" w:rsidRDefault="00000000">
            <w:pPr>
              <w:keepNext/>
              <w:keepLines/>
              <w:spacing w:after="0" w:line="240" w:lineRule="auto"/>
              <w:jc w:val="right"/>
            </w:pPr>
            <w:r>
              <w:rPr>
                <w:sz w:val="18"/>
              </w:rPr>
              <w:t>10.834.551,10</w:t>
            </w:r>
          </w:p>
        </w:tc>
        <w:tc>
          <w:tcPr>
            <w:tcW w:w="1860" w:type="dxa"/>
            <w:tcMar>
              <w:top w:w="0" w:type="dxa"/>
              <w:bottom w:w="0" w:type="dxa"/>
            </w:tcMar>
            <w:vAlign w:val="center"/>
          </w:tcPr>
          <w:p w:rsidR="00E4472F" w:rsidRDefault="00000000">
            <w:pPr>
              <w:keepNext/>
              <w:keepLines/>
              <w:spacing w:after="0" w:line="240" w:lineRule="auto"/>
              <w:jc w:val="right"/>
            </w:pPr>
            <w:r>
              <w:rPr>
                <w:sz w:val="18"/>
              </w:rPr>
              <w:t>11.756.519,97</w:t>
            </w:r>
          </w:p>
        </w:tc>
        <w:tc>
          <w:tcPr>
            <w:tcW w:w="700" w:type="dxa"/>
            <w:tcMar>
              <w:top w:w="0" w:type="dxa"/>
              <w:bottom w:w="0" w:type="dxa"/>
            </w:tcMar>
            <w:vAlign w:val="center"/>
          </w:tcPr>
          <w:p w:rsidR="00E4472F" w:rsidRDefault="00000000">
            <w:pPr>
              <w:keepNext/>
              <w:keepLines/>
              <w:spacing w:after="0" w:line="240" w:lineRule="auto"/>
              <w:jc w:val="right"/>
            </w:pPr>
            <w:r>
              <w:rPr>
                <w:sz w:val="18"/>
              </w:rPr>
              <w:t>108,5</w:t>
            </w:r>
          </w:p>
        </w:tc>
      </w:tr>
    </w:tbl>
    <w:p w:rsidR="00E4472F" w:rsidRDefault="00E4472F" w:rsidP="008D2B18">
      <w:pPr>
        <w:jc w:val="both"/>
      </w:pPr>
    </w:p>
    <w:p w:rsidR="00E4472F" w:rsidRDefault="00000000" w:rsidP="008D2B18">
      <w:pPr>
        <w:jc w:val="both"/>
      </w:pPr>
      <w:r>
        <w:t>U okviru skupine prihoda 65 Prihodi od upravnih i administrativnih pristojbi, pristojbi po posebnim propisima i naknadama, Bolnica je u 2025. godini ostvarila prihode u iznosu od 11.756.519,97 eura, što predstavlja rast od 8,5 % u odnosu na prethodnu godinu, kada su ostvareni prihodi u iznosu od 10.834.551,10 eura.</w:t>
      </w:r>
    </w:p>
    <w:p w:rsidR="00E4472F" w:rsidRDefault="00E4472F"/>
    <w:p w:rsidR="00E4472F" w:rsidRDefault="00000000">
      <w:pPr>
        <w:keepNext/>
        <w:spacing w:line="240" w:lineRule="auto"/>
        <w:jc w:val="center"/>
      </w:pPr>
      <w:r>
        <w:rPr>
          <w:sz w:val="28"/>
        </w:rPr>
        <w:t>Bilješka 16.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652</w:t>
            </w:r>
          </w:p>
        </w:tc>
        <w:tc>
          <w:tcPr>
            <w:tcW w:w="3180" w:type="dxa"/>
            <w:tcMar>
              <w:top w:w="0" w:type="dxa"/>
              <w:bottom w:w="0" w:type="dxa"/>
            </w:tcMar>
            <w:vAlign w:val="center"/>
          </w:tcPr>
          <w:p w:rsidR="00E4472F" w:rsidRDefault="00000000">
            <w:pPr>
              <w:keepNext/>
              <w:keepLines/>
              <w:spacing w:after="0" w:line="240" w:lineRule="auto"/>
            </w:pPr>
            <w:r>
              <w:rPr>
                <w:sz w:val="18"/>
              </w:rPr>
              <w:t>Prihodi po posebnim propisima (šifre 6521 do 6528)</w:t>
            </w:r>
          </w:p>
        </w:tc>
        <w:tc>
          <w:tcPr>
            <w:tcW w:w="700" w:type="dxa"/>
            <w:tcMar>
              <w:top w:w="0" w:type="dxa"/>
              <w:bottom w:w="0" w:type="dxa"/>
            </w:tcMar>
            <w:vAlign w:val="center"/>
          </w:tcPr>
          <w:p w:rsidR="00E4472F" w:rsidRDefault="00000000">
            <w:pPr>
              <w:keepNext/>
              <w:keepLines/>
              <w:spacing w:after="0" w:line="240" w:lineRule="auto"/>
            </w:pPr>
            <w:r>
              <w:rPr>
                <w:sz w:val="18"/>
              </w:rPr>
              <w:t>652</w:t>
            </w:r>
          </w:p>
        </w:tc>
        <w:tc>
          <w:tcPr>
            <w:tcW w:w="1860" w:type="dxa"/>
            <w:tcMar>
              <w:top w:w="0" w:type="dxa"/>
              <w:bottom w:w="0" w:type="dxa"/>
            </w:tcMar>
            <w:vAlign w:val="center"/>
          </w:tcPr>
          <w:p w:rsidR="00E4472F" w:rsidRDefault="00000000">
            <w:pPr>
              <w:keepNext/>
              <w:keepLines/>
              <w:spacing w:after="0" w:line="240" w:lineRule="auto"/>
              <w:jc w:val="right"/>
            </w:pPr>
            <w:r>
              <w:rPr>
                <w:sz w:val="18"/>
              </w:rPr>
              <w:t>10.834.551,10</w:t>
            </w:r>
          </w:p>
        </w:tc>
        <w:tc>
          <w:tcPr>
            <w:tcW w:w="1860" w:type="dxa"/>
            <w:tcMar>
              <w:top w:w="0" w:type="dxa"/>
              <w:bottom w:w="0" w:type="dxa"/>
            </w:tcMar>
            <w:vAlign w:val="center"/>
          </w:tcPr>
          <w:p w:rsidR="00E4472F" w:rsidRDefault="00000000">
            <w:pPr>
              <w:keepNext/>
              <w:keepLines/>
              <w:spacing w:after="0" w:line="240" w:lineRule="auto"/>
              <w:jc w:val="right"/>
            </w:pPr>
            <w:r>
              <w:rPr>
                <w:sz w:val="18"/>
              </w:rPr>
              <w:t>11.756.464,29</w:t>
            </w:r>
          </w:p>
        </w:tc>
        <w:tc>
          <w:tcPr>
            <w:tcW w:w="700" w:type="dxa"/>
            <w:tcMar>
              <w:top w:w="0" w:type="dxa"/>
              <w:bottom w:w="0" w:type="dxa"/>
            </w:tcMar>
            <w:vAlign w:val="center"/>
          </w:tcPr>
          <w:p w:rsidR="00E4472F" w:rsidRDefault="00000000">
            <w:pPr>
              <w:keepNext/>
              <w:keepLines/>
              <w:spacing w:after="0" w:line="240" w:lineRule="auto"/>
              <w:jc w:val="right"/>
            </w:pPr>
            <w:r>
              <w:rPr>
                <w:sz w:val="18"/>
              </w:rPr>
              <w:t>108,5</w:t>
            </w:r>
          </w:p>
        </w:tc>
      </w:tr>
    </w:tbl>
    <w:p w:rsidR="00E4472F" w:rsidRDefault="00E4472F">
      <w:pPr>
        <w:spacing w:after="0"/>
      </w:pPr>
    </w:p>
    <w:p w:rsidR="00E4472F" w:rsidRDefault="00000000">
      <w:pPr>
        <w:jc w:val="both"/>
      </w:pPr>
      <w:r>
        <w:t>Prihodi od upravnih i administrativnih pristojbi, pristojbi po posebnim propisima i naknada u 2025. godini iznose 11.756.519,97 EUR, što predstavlja povećanje od 8,5 % u odnosu na 2024. godinu, kada su iznosili 10.834.551,10 EUR. Povećanje navedenih prihoda povezano je s povećanim obujmom pruženih zdravstvenih usluga te promjenama u strukturi i visini naknada utvrđenih posebnim propisima.</w:t>
      </w:r>
    </w:p>
    <w:p w:rsidR="00E4472F" w:rsidRDefault="00E4472F"/>
    <w:p w:rsidR="00E4472F" w:rsidRDefault="00000000">
      <w:pPr>
        <w:keepNext/>
        <w:spacing w:line="240" w:lineRule="auto"/>
        <w:jc w:val="center"/>
      </w:pPr>
      <w:r>
        <w:rPr>
          <w:sz w:val="28"/>
        </w:rPr>
        <w:lastRenderedPageBreak/>
        <w:t>Bilješka 17.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6526</w:t>
            </w:r>
          </w:p>
        </w:tc>
        <w:tc>
          <w:tcPr>
            <w:tcW w:w="3180" w:type="dxa"/>
            <w:tcMar>
              <w:top w:w="0" w:type="dxa"/>
              <w:bottom w:w="0" w:type="dxa"/>
            </w:tcMar>
            <w:vAlign w:val="center"/>
          </w:tcPr>
          <w:p w:rsidR="00E4472F" w:rsidRDefault="00000000">
            <w:pPr>
              <w:keepNext/>
              <w:keepLines/>
              <w:spacing w:after="0" w:line="240" w:lineRule="auto"/>
            </w:pPr>
            <w:r>
              <w:rPr>
                <w:sz w:val="18"/>
              </w:rPr>
              <w:t>Ostali nespomenuti prihodi</w:t>
            </w:r>
          </w:p>
        </w:tc>
        <w:tc>
          <w:tcPr>
            <w:tcW w:w="700" w:type="dxa"/>
            <w:tcMar>
              <w:top w:w="0" w:type="dxa"/>
              <w:bottom w:w="0" w:type="dxa"/>
            </w:tcMar>
            <w:vAlign w:val="center"/>
          </w:tcPr>
          <w:p w:rsidR="00E4472F" w:rsidRDefault="00000000">
            <w:pPr>
              <w:keepNext/>
              <w:keepLines/>
              <w:spacing w:after="0" w:line="240" w:lineRule="auto"/>
            </w:pPr>
            <w:r>
              <w:rPr>
                <w:sz w:val="18"/>
              </w:rPr>
              <w:t>6526</w:t>
            </w:r>
          </w:p>
        </w:tc>
        <w:tc>
          <w:tcPr>
            <w:tcW w:w="1860" w:type="dxa"/>
            <w:tcMar>
              <w:top w:w="0" w:type="dxa"/>
              <w:bottom w:w="0" w:type="dxa"/>
            </w:tcMar>
            <w:vAlign w:val="center"/>
          </w:tcPr>
          <w:p w:rsidR="00E4472F" w:rsidRDefault="00000000">
            <w:pPr>
              <w:keepNext/>
              <w:keepLines/>
              <w:spacing w:after="0" w:line="240" w:lineRule="auto"/>
              <w:jc w:val="right"/>
            </w:pPr>
            <w:r>
              <w:rPr>
                <w:sz w:val="18"/>
              </w:rPr>
              <w:t>10.834.551,10</w:t>
            </w:r>
          </w:p>
        </w:tc>
        <w:tc>
          <w:tcPr>
            <w:tcW w:w="1860" w:type="dxa"/>
            <w:tcMar>
              <w:top w:w="0" w:type="dxa"/>
              <w:bottom w:w="0" w:type="dxa"/>
            </w:tcMar>
            <w:vAlign w:val="center"/>
          </w:tcPr>
          <w:p w:rsidR="00E4472F" w:rsidRDefault="00000000">
            <w:pPr>
              <w:keepNext/>
              <w:keepLines/>
              <w:spacing w:after="0" w:line="240" w:lineRule="auto"/>
              <w:jc w:val="right"/>
            </w:pPr>
            <w:r>
              <w:rPr>
                <w:sz w:val="18"/>
              </w:rPr>
              <w:t>11.756.464,29</w:t>
            </w:r>
          </w:p>
        </w:tc>
        <w:tc>
          <w:tcPr>
            <w:tcW w:w="700" w:type="dxa"/>
            <w:tcMar>
              <w:top w:w="0" w:type="dxa"/>
              <w:bottom w:w="0" w:type="dxa"/>
            </w:tcMar>
            <w:vAlign w:val="center"/>
          </w:tcPr>
          <w:p w:rsidR="00E4472F" w:rsidRDefault="00000000">
            <w:pPr>
              <w:keepNext/>
              <w:keepLines/>
              <w:spacing w:after="0" w:line="240" w:lineRule="auto"/>
              <w:jc w:val="right"/>
            </w:pPr>
            <w:r>
              <w:rPr>
                <w:sz w:val="18"/>
              </w:rPr>
              <w:t>108,5</w:t>
            </w:r>
          </w:p>
        </w:tc>
      </w:tr>
    </w:tbl>
    <w:p w:rsidR="00E4472F" w:rsidRDefault="00E4472F">
      <w:pPr>
        <w:spacing w:after="0"/>
      </w:pPr>
    </w:p>
    <w:p w:rsidR="00E4472F" w:rsidRDefault="00000000" w:rsidP="008D2B18">
      <w:pPr>
        <w:jc w:val="both"/>
      </w:pPr>
      <w:r>
        <w:t>U okviru konta 6526 Ostali nespomenuti prihodi u 2025. godini evidentirani su prihodi u iznosu od 11.756.464,29 eura, koji se pretežito odnose na sufinanciranje cijene pruženih zdravstvenih usluga, odnosno prihode od participacija te prihode od dopunskog zdravstvenog osiguranja (HZZO i ostala osiguravajuća društva). U okviru istog konta evidentirani su i prihodi ostvareni po osnovi osiguranja (refundacije šteta) temeljem ugovorene police, kao i ostali pojedinačni prihodi. U razdoblju od 1. siječnja do 31. prosinca 2025. godine ostvareni su prihodi od dopunskog zdravstvenog osiguranja HZZO-a u iznosu od 9.030.711,10 eura te prihodi od dopunskog osiguranja ostalih osiguravajućih društava u iznosu od 2.326.908,80 eura. U odnosu na prethodnu godinu, prihodi od dopunskog osiguranja HZZO-a povećani su za 150.615,49 eura, prihodi od dopunskog osiguranja ostalih osiguravajućih društava povećani su za 593.713,15 eura, dok su prihodi od participacija povećani za 68.248,03 eura. Nadalje, u okviru ovog konta evidentiran je i prihod u iznosu od 123.834,68 eura po osnovi osiguranja i refundacija štete ostvaren temeljem police osiguranja Croatia osiguranje d.d. u 2025., dok je u 2024. godini po istoj osnovi ostvaren prihod u iznosu od 27.094,91 eura. Također, u okviru navedenog konta evidentiran je i prihod u iznosu od 10.339,14 eura, ostvaren po osnovi prijevremenog prestanka ugovora o radu zdravstvenog djelatnika, sukladno ugovornim odredbama. prihodi od participacija u iznosu od 262.412,96 eura.</w:t>
      </w:r>
    </w:p>
    <w:p w:rsidR="00E4472F" w:rsidRDefault="00E4472F"/>
    <w:p w:rsidR="00E4472F" w:rsidRDefault="00000000">
      <w:pPr>
        <w:keepNext/>
        <w:spacing w:line="240" w:lineRule="auto"/>
        <w:jc w:val="center"/>
      </w:pPr>
      <w:r>
        <w:rPr>
          <w:sz w:val="28"/>
        </w:rPr>
        <w:t>Bilješka 18.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66</w:t>
            </w:r>
          </w:p>
        </w:tc>
        <w:tc>
          <w:tcPr>
            <w:tcW w:w="3180" w:type="dxa"/>
            <w:tcMar>
              <w:top w:w="0" w:type="dxa"/>
              <w:bottom w:w="0" w:type="dxa"/>
            </w:tcMar>
            <w:vAlign w:val="center"/>
          </w:tcPr>
          <w:p w:rsidR="00E4472F" w:rsidRDefault="00000000">
            <w:pPr>
              <w:keepNext/>
              <w:keepLines/>
              <w:spacing w:after="0" w:line="240" w:lineRule="auto"/>
            </w:pPr>
            <w:r>
              <w:rPr>
                <w:sz w:val="18"/>
              </w:rPr>
              <w:t>Prihodi od prodaje proizvoda i robe te pruženih usluga, prihodi od donacija te povrati po protestiranim jamstvima (šifre 661+663)</w:t>
            </w:r>
          </w:p>
        </w:tc>
        <w:tc>
          <w:tcPr>
            <w:tcW w:w="700" w:type="dxa"/>
            <w:tcMar>
              <w:top w:w="0" w:type="dxa"/>
              <w:bottom w:w="0" w:type="dxa"/>
            </w:tcMar>
            <w:vAlign w:val="center"/>
          </w:tcPr>
          <w:p w:rsidR="00E4472F" w:rsidRDefault="00000000">
            <w:pPr>
              <w:keepNext/>
              <w:keepLines/>
              <w:spacing w:after="0" w:line="240" w:lineRule="auto"/>
            </w:pPr>
            <w:r>
              <w:rPr>
                <w:sz w:val="18"/>
              </w:rPr>
              <w:t>66</w:t>
            </w:r>
          </w:p>
        </w:tc>
        <w:tc>
          <w:tcPr>
            <w:tcW w:w="1860" w:type="dxa"/>
            <w:tcMar>
              <w:top w:w="0" w:type="dxa"/>
              <w:bottom w:w="0" w:type="dxa"/>
            </w:tcMar>
            <w:vAlign w:val="center"/>
          </w:tcPr>
          <w:p w:rsidR="00E4472F" w:rsidRDefault="00000000">
            <w:pPr>
              <w:keepNext/>
              <w:keepLines/>
              <w:spacing w:after="0" w:line="240" w:lineRule="auto"/>
              <w:jc w:val="right"/>
            </w:pPr>
            <w:r>
              <w:rPr>
                <w:sz w:val="18"/>
              </w:rPr>
              <w:t>3.125.017,22</w:t>
            </w:r>
          </w:p>
        </w:tc>
        <w:tc>
          <w:tcPr>
            <w:tcW w:w="1860" w:type="dxa"/>
            <w:tcMar>
              <w:top w:w="0" w:type="dxa"/>
              <w:bottom w:w="0" w:type="dxa"/>
            </w:tcMar>
            <w:vAlign w:val="center"/>
          </w:tcPr>
          <w:p w:rsidR="00E4472F" w:rsidRDefault="00000000">
            <w:pPr>
              <w:keepNext/>
              <w:keepLines/>
              <w:spacing w:after="0" w:line="240" w:lineRule="auto"/>
              <w:jc w:val="right"/>
            </w:pPr>
            <w:r>
              <w:rPr>
                <w:sz w:val="18"/>
              </w:rPr>
              <w:t>1.776.917,26</w:t>
            </w:r>
          </w:p>
        </w:tc>
        <w:tc>
          <w:tcPr>
            <w:tcW w:w="700" w:type="dxa"/>
            <w:tcMar>
              <w:top w:w="0" w:type="dxa"/>
              <w:bottom w:w="0" w:type="dxa"/>
            </w:tcMar>
            <w:vAlign w:val="center"/>
          </w:tcPr>
          <w:p w:rsidR="00E4472F" w:rsidRDefault="00000000">
            <w:pPr>
              <w:keepNext/>
              <w:keepLines/>
              <w:spacing w:after="0" w:line="240" w:lineRule="auto"/>
              <w:jc w:val="right"/>
            </w:pPr>
            <w:r>
              <w:rPr>
                <w:sz w:val="18"/>
              </w:rPr>
              <w:t>56,9</w:t>
            </w:r>
          </w:p>
        </w:tc>
      </w:tr>
    </w:tbl>
    <w:p w:rsidR="00E4472F" w:rsidRDefault="00E4472F">
      <w:pPr>
        <w:spacing w:after="0"/>
      </w:pPr>
    </w:p>
    <w:p w:rsidR="00E4472F" w:rsidRDefault="00000000">
      <w:r>
        <w:t>Prihodi od prodaje proizvoda i robe te pruženih usluga, prihodi od donacija te povrati po protestnim jamstvima koji se evidentiraju na podskupini prihoda 66 u 2025. iznosi 1.776.917,26 eura i manji su za 43% u odnosu na 2024. Najveće smanjenje prihoda ostvareno je od tekućih donacija zbog promjene u računovodstvenom evidentiranju istih.</w:t>
      </w:r>
    </w:p>
    <w:p w:rsidR="00E4472F" w:rsidRDefault="00E4472F"/>
    <w:p w:rsidR="00E4472F" w:rsidRDefault="00000000">
      <w:pPr>
        <w:keepNext/>
        <w:spacing w:line="240" w:lineRule="auto"/>
        <w:jc w:val="center"/>
      </w:pPr>
      <w:r>
        <w:rPr>
          <w:sz w:val="28"/>
        </w:rPr>
        <w:lastRenderedPageBreak/>
        <w:t>Bilješka 19.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661</w:t>
            </w:r>
          </w:p>
        </w:tc>
        <w:tc>
          <w:tcPr>
            <w:tcW w:w="3180" w:type="dxa"/>
            <w:tcMar>
              <w:top w:w="0" w:type="dxa"/>
              <w:bottom w:w="0" w:type="dxa"/>
            </w:tcMar>
            <w:vAlign w:val="center"/>
          </w:tcPr>
          <w:p w:rsidR="00E4472F" w:rsidRDefault="00000000">
            <w:pPr>
              <w:keepNext/>
              <w:keepLines/>
              <w:spacing w:after="0" w:line="240" w:lineRule="auto"/>
            </w:pPr>
            <w:r>
              <w:rPr>
                <w:sz w:val="18"/>
              </w:rPr>
              <w:t>Prihodi od prodaje proizvoda i robe te pruženih usluga (šifre 6614+6615)</w:t>
            </w:r>
          </w:p>
        </w:tc>
        <w:tc>
          <w:tcPr>
            <w:tcW w:w="700" w:type="dxa"/>
            <w:tcMar>
              <w:top w:w="0" w:type="dxa"/>
              <w:bottom w:w="0" w:type="dxa"/>
            </w:tcMar>
            <w:vAlign w:val="center"/>
          </w:tcPr>
          <w:p w:rsidR="00E4472F" w:rsidRDefault="00000000">
            <w:pPr>
              <w:keepNext/>
              <w:keepLines/>
              <w:spacing w:after="0" w:line="240" w:lineRule="auto"/>
            </w:pPr>
            <w:r>
              <w:rPr>
                <w:sz w:val="18"/>
              </w:rPr>
              <w:t>661</w:t>
            </w:r>
          </w:p>
        </w:tc>
        <w:tc>
          <w:tcPr>
            <w:tcW w:w="1860" w:type="dxa"/>
            <w:tcMar>
              <w:top w:w="0" w:type="dxa"/>
              <w:bottom w:w="0" w:type="dxa"/>
            </w:tcMar>
            <w:vAlign w:val="center"/>
          </w:tcPr>
          <w:p w:rsidR="00E4472F" w:rsidRDefault="00000000">
            <w:pPr>
              <w:keepNext/>
              <w:keepLines/>
              <w:spacing w:after="0" w:line="240" w:lineRule="auto"/>
              <w:jc w:val="right"/>
            </w:pPr>
            <w:r>
              <w:rPr>
                <w:sz w:val="18"/>
              </w:rPr>
              <w:t>1.533.874,71</w:t>
            </w:r>
          </w:p>
        </w:tc>
        <w:tc>
          <w:tcPr>
            <w:tcW w:w="1860" w:type="dxa"/>
            <w:tcMar>
              <w:top w:w="0" w:type="dxa"/>
              <w:bottom w:w="0" w:type="dxa"/>
            </w:tcMar>
            <w:vAlign w:val="center"/>
          </w:tcPr>
          <w:p w:rsidR="00E4472F" w:rsidRDefault="00000000">
            <w:pPr>
              <w:keepNext/>
              <w:keepLines/>
              <w:spacing w:after="0" w:line="240" w:lineRule="auto"/>
              <w:jc w:val="right"/>
            </w:pPr>
            <w:r>
              <w:rPr>
                <w:sz w:val="18"/>
              </w:rPr>
              <w:t>980.038,10</w:t>
            </w:r>
          </w:p>
        </w:tc>
        <w:tc>
          <w:tcPr>
            <w:tcW w:w="700" w:type="dxa"/>
            <w:tcMar>
              <w:top w:w="0" w:type="dxa"/>
              <w:bottom w:w="0" w:type="dxa"/>
            </w:tcMar>
            <w:vAlign w:val="center"/>
          </w:tcPr>
          <w:p w:rsidR="00E4472F" w:rsidRDefault="00000000">
            <w:pPr>
              <w:keepNext/>
              <w:keepLines/>
              <w:spacing w:after="0" w:line="240" w:lineRule="auto"/>
              <w:jc w:val="right"/>
            </w:pPr>
            <w:r>
              <w:rPr>
                <w:sz w:val="18"/>
              </w:rPr>
              <w:t>63,9</w:t>
            </w:r>
          </w:p>
        </w:tc>
      </w:tr>
    </w:tbl>
    <w:p w:rsidR="00E4472F" w:rsidRDefault="00E4472F">
      <w:pPr>
        <w:spacing w:after="0"/>
      </w:pPr>
    </w:p>
    <w:p w:rsidR="00E4472F" w:rsidRDefault="00000000">
      <w:r>
        <w:t>Prihodi od prodaje proizvoda i robe te pruženih usluga u 2025. godini iznose 980.038,10 eura, što predstavlja smanjenje od 36,1 % u odnosu na 2024. godinu, kada su iznosili 1.533.874,71 eura.</w:t>
      </w:r>
    </w:p>
    <w:p w:rsidR="00E4472F" w:rsidRDefault="00E4472F"/>
    <w:p w:rsidR="00E4472F" w:rsidRDefault="00000000">
      <w:pPr>
        <w:keepNext/>
        <w:spacing w:line="240" w:lineRule="auto"/>
        <w:jc w:val="center"/>
      </w:pPr>
      <w:r>
        <w:rPr>
          <w:sz w:val="28"/>
        </w:rPr>
        <w:t>Bilješka 20.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6614</w:t>
            </w:r>
          </w:p>
        </w:tc>
        <w:tc>
          <w:tcPr>
            <w:tcW w:w="3180" w:type="dxa"/>
            <w:tcMar>
              <w:top w:w="0" w:type="dxa"/>
              <w:bottom w:w="0" w:type="dxa"/>
            </w:tcMar>
            <w:vAlign w:val="center"/>
          </w:tcPr>
          <w:p w:rsidR="00E4472F" w:rsidRDefault="00000000">
            <w:pPr>
              <w:keepNext/>
              <w:keepLines/>
              <w:spacing w:after="0" w:line="240" w:lineRule="auto"/>
            </w:pPr>
            <w:r>
              <w:rPr>
                <w:sz w:val="18"/>
              </w:rPr>
              <w:t>Prihodi od prodaje proizvoda i robe</w:t>
            </w:r>
          </w:p>
        </w:tc>
        <w:tc>
          <w:tcPr>
            <w:tcW w:w="700" w:type="dxa"/>
            <w:tcMar>
              <w:top w:w="0" w:type="dxa"/>
              <w:bottom w:w="0" w:type="dxa"/>
            </w:tcMar>
            <w:vAlign w:val="center"/>
          </w:tcPr>
          <w:p w:rsidR="00E4472F" w:rsidRDefault="00000000">
            <w:pPr>
              <w:keepNext/>
              <w:keepLines/>
              <w:spacing w:after="0" w:line="240" w:lineRule="auto"/>
            </w:pPr>
            <w:r>
              <w:rPr>
                <w:sz w:val="18"/>
              </w:rPr>
              <w:t>6614</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43.062,00</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r>
        <w:t>Prihodi od prodaje proizvoda i roba u 2025. godini ostvareni su u iznosu od 43.062,00 eura te se odnose na naplatu obroka bolničke kuhinje djelatnicima Bolnice.</w:t>
      </w:r>
    </w:p>
    <w:p w:rsidR="00E4472F" w:rsidRDefault="00E4472F"/>
    <w:p w:rsidR="00E4472F" w:rsidRDefault="00000000">
      <w:pPr>
        <w:keepNext/>
        <w:spacing w:line="240" w:lineRule="auto"/>
        <w:jc w:val="center"/>
      </w:pPr>
      <w:r>
        <w:rPr>
          <w:sz w:val="28"/>
        </w:rPr>
        <w:t>Bilješka 21.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6615</w:t>
            </w:r>
          </w:p>
        </w:tc>
        <w:tc>
          <w:tcPr>
            <w:tcW w:w="3180" w:type="dxa"/>
            <w:tcMar>
              <w:top w:w="0" w:type="dxa"/>
              <w:bottom w:w="0" w:type="dxa"/>
            </w:tcMar>
            <w:vAlign w:val="center"/>
          </w:tcPr>
          <w:p w:rsidR="00E4472F" w:rsidRDefault="00000000">
            <w:pPr>
              <w:keepNext/>
              <w:keepLines/>
              <w:spacing w:after="0" w:line="240" w:lineRule="auto"/>
            </w:pPr>
            <w:r>
              <w:rPr>
                <w:sz w:val="18"/>
              </w:rPr>
              <w:t>Prihodi od pruženih usluga</w:t>
            </w:r>
          </w:p>
        </w:tc>
        <w:tc>
          <w:tcPr>
            <w:tcW w:w="700" w:type="dxa"/>
            <w:tcMar>
              <w:top w:w="0" w:type="dxa"/>
              <w:bottom w:w="0" w:type="dxa"/>
            </w:tcMar>
            <w:vAlign w:val="center"/>
          </w:tcPr>
          <w:p w:rsidR="00E4472F" w:rsidRDefault="00000000">
            <w:pPr>
              <w:keepNext/>
              <w:keepLines/>
              <w:spacing w:after="0" w:line="240" w:lineRule="auto"/>
            </w:pPr>
            <w:r>
              <w:rPr>
                <w:sz w:val="18"/>
              </w:rPr>
              <w:t>6615</w:t>
            </w:r>
          </w:p>
        </w:tc>
        <w:tc>
          <w:tcPr>
            <w:tcW w:w="1860" w:type="dxa"/>
            <w:tcMar>
              <w:top w:w="0" w:type="dxa"/>
              <w:bottom w:w="0" w:type="dxa"/>
            </w:tcMar>
            <w:vAlign w:val="center"/>
          </w:tcPr>
          <w:p w:rsidR="00E4472F" w:rsidRDefault="00000000">
            <w:pPr>
              <w:keepNext/>
              <w:keepLines/>
              <w:spacing w:after="0" w:line="240" w:lineRule="auto"/>
              <w:jc w:val="right"/>
            </w:pPr>
            <w:r>
              <w:rPr>
                <w:sz w:val="18"/>
              </w:rPr>
              <w:t>1.533.874,71</w:t>
            </w:r>
          </w:p>
        </w:tc>
        <w:tc>
          <w:tcPr>
            <w:tcW w:w="1860" w:type="dxa"/>
            <w:tcMar>
              <w:top w:w="0" w:type="dxa"/>
              <w:bottom w:w="0" w:type="dxa"/>
            </w:tcMar>
            <w:vAlign w:val="center"/>
          </w:tcPr>
          <w:p w:rsidR="00E4472F" w:rsidRDefault="00000000">
            <w:pPr>
              <w:keepNext/>
              <w:keepLines/>
              <w:spacing w:after="0" w:line="240" w:lineRule="auto"/>
              <w:jc w:val="right"/>
            </w:pPr>
            <w:r>
              <w:rPr>
                <w:sz w:val="18"/>
              </w:rPr>
              <w:t>936.976,10</w:t>
            </w:r>
          </w:p>
        </w:tc>
        <w:tc>
          <w:tcPr>
            <w:tcW w:w="700" w:type="dxa"/>
            <w:tcMar>
              <w:top w:w="0" w:type="dxa"/>
              <w:bottom w:w="0" w:type="dxa"/>
            </w:tcMar>
            <w:vAlign w:val="center"/>
          </w:tcPr>
          <w:p w:rsidR="00E4472F" w:rsidRDefault="00000000">
            <w:pPr>
              <w:keepNext/>
              <w:keepLines/>
              <w:spacing w:after="0" w:line="240" w:lineRule="auto"/>
              <w:jc w:val="right"/>
            </w:pPr>
            <w:r>
              <w:rPr>
                <w:sz w:val="18"/>
              </w:rPr>
              <w:t>61,1</w:t>
            </w:r>
          </w:p>
        </w:tc>
      </w:tr>
    </w:tbl>
    <w:p w:rsidR="00E4472F" w:rsidRDefault="00E4472F">
      <w:pPr>
        <w:spacing w:after="0"/>
      </w:pPr>
    </w:p>
    <w:p w:rsidR="00E4472F" w:rsidRDefault="00000000">
      <w:pPr>
        <w:jc w:val="both"/>
      </w:pPr>
      <w:r>
        <w:t>Prihodi od pruženih usluga u 2025. godini iznosili su 936.976,10 eura te su u odnosu na isto razdoblje prethodne godine smanjeni za 38,9 %. U okviru navedenog osnovnog računa ostvareni su sljedeći prihodi: prihodi od pruženih zdravstvenih usluga osobama bez zdravstvenog osiguranja u iznosu od 277.583,56 eura, prihodi od izvršenih sistematskih pregleda u iznosu od 242.329,12 eura, prihodi od provedenih kliničkih ispitivanja lijekova u iznosu od 94.507,87 eura, prihodi od najma imovine u iznosu od 84.238,87 eura, prihodi od pruženih usluga zdravstvene zaštite strancima, azilantima, državljanima Ukrajine i zatvorenicima, koji se potražuju od Ministarstva zdravstva, odnosno nadležnih pravosudnih tijela, u iznosu od 77.536,87 eura, prihodi od pruženih zdravstvenih usluga osiguranicima zdravstvenog osiguranja Bosne i Hercegovine u iznosu od 65.464,38 eura, prihodi od pruženih zdravstvenih usluga drugim zdravstvenim ustanovama u iznosu od 60.648,05 eura, te ostali prihodi ostvareni po osnovi pruženih usluga.</w:t>
      </w:r>
    </w:p>
    <w:p w:rsidR="00E4472F" w:rsidRDefault="00E4472F"/>
    <w:p w:rsidR="00E4472F" w:rsidRDefault="00000000">
      <w:pPr>
        <w:keepNext/>
        <w:spacing w:line="240" w:lineRule="auto"/>
        <w:jc w:val="center"/>
      </w:pPr>
      <w:r>
        <w:rPr>
          <w:sz w:val="28"/>
        </w:rPr>
        <w:lastRenderedPageBreak/>
        <w:t>Bilješka 22.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663</w:t>
            </w:r>
          </w:p>
        </w:tc>
        <w:tc>
          <w:tcPr>
            <w:tcW w:w="3180" w:type="dxa"/>
            <w:tcMar>
              <w:top w:w="0" w:type="dxa"/>
              <w:bottom w:w="0" w:type="dxa"/>
            </w:tcMar>
            <w:vAlign w:val="center"/>
          </w:tcPr>
          <w:p w:rsidR="00E4472F" w:rsidRDefault="00000000">
            <w:pPr>
              <w:keepNext/>
              <w:keepLines/>
              <w:spacing w:after="0" w:line="240" w:lineRule="auto"/>
            </w:pPr>
            <w:r>
              <w:rPr>
                <w:sz w:val="18"/>
              </w:rPr>
              <w:t>Donacije od pravnih i fizičkih osoba izvan općeg proračuna te povrat donacija i kapitalnih pomoći po protestiranim jamstvima (šifre 6631 do 6634)</w:t>
            </w:r>
          </w:p>
        </w:tc>
        <w:tc>
          <w:tcPr>
            <w:tcW w:w="700" w:type="dxa"/>
            <w:tcMar>
              <w:top w:w="0" w:type="dxa"/>
              <w:bottom w:w="0" w:type="dxa"/>
            </w:tcMar>
            <w:vAlign w:val="center"/>
          </w:tcPr>
          <w:p w:rsidR="00E4472F" w:rsidRDefault="00000000">
            <w:pPr>
              <w:keepNext/>
              <w:keepLines/>
              <w:spacing w:after="0" w:line="240" w:lineRule="auto"/>
            </w:pPr>
            <w:r>
              <w:rPr>
                <w:sz w:val="18"/>
              </w:rPr>
              <w:t>663</w:t>
            </w:r>
          </w:p>
        </w:tc>
        <w:tc>
          <w:tcPr>
            <w:tcW w:w="1860" w:type="dxa"/>
            <w:tcMar>
              <w:top w:w="0" w:type="dxa"/>
              <w:bottom w:w="0" w:type="dxa"/>
            </w:tcMar>
            <w:vAlign w:val="center"/>
          </w:tcPr>
          <w:p w:rsidR="00E4472F" w:rsidRDefault="00000000">
            <w:pPr>
              <w:keepNext/>
              <w:keepLines/>
              <w:spacing w:after="0" w:line="240" w:lineRule="auto"/>
              <w:jc w:val="right"/>
            </w:pPr>
            <w:r>
              <w:rPr>
                <w:sz w:val="18"/>
              </w:rPr>
              <w:t>1.591.142,51</w:t>
            </w:r>
          </w:p>
        </w:tc>
        <w:tc>
          <w:tcPr>
            <w:tcW w:w="1860" w:type="dxa"/>
            <w:tcMar>
              <w:top w:w="0" w:type="dxa"/>
              <w:bottom w:w="0" w:type="dxa"/>
            </w:tcMar>
            <w:vAlign w:val="center"/>
          </w:tcPr>
          <w:p w:rsidR="00E4472F" w:rsidRDefault="00000000">
            <w:pPr>
              <w:keepNext/>
              <w:keepLines/>
              <w:spacing w:after="0" w:line="240" w:lineRule="auto"/>
              <w:jc w:val="right"/>
            </w:pPr>
            <w:r>
              <w:rPr>
                <w:sz w:val="18"/>
              </w:rPr>
              <w:t>796.879,16</w:t>
            </w:r>
          </w:p>
        </w:tc>
        <w:tc>
          <w:tcPr>
            <w:tcW w:w="700" w:type="dxa"/>
            <w:tcMar>
              <w:top w:w="0" w:type="dxa"/>
              <w:bottom w:w="0" w:type="dxa"/>
            </w:tcMar>
            <w:vAlign w:val="center"/>
          </w:tcPr>
          <w:p w:rsidR="00E4472F" w:rsidRDefault="00000000">
            <w:pPr>
              <w:keepNext/>
              <w:keepLines/>
              <w:spacing w:after="0" w:line="240" w:lineRule="auto"/>
              <w:jc w:val="right"/>
            </w:pPr>
            <w:r>
              <w:rPr>
                <w:sz w:val="18"/>
              </w:rPr>
              <w:t>50,1</w:t>
            </w:r>
          </w:p>
        </w:tc>
      </w:tr>
    </w:tbl>
    <w:p w:rsidR="00E4472F" w:rsidRDefault="00E4472F">
      <w:pPr>
        <w:spacing w:after="0"/>
      </w:pPr>
    </w:p>
    <w:p w:rsidR="00E4472F" w:rsidRDefault="00000000">
      <w:r>
        <w:t>Donacije od pravnih i fizičkih osoba izvan općeg proračuna te povrat donacija i kapitalnih pomoći po protestiranim jamstvima u 2025. godini iznosile su 796.879,16 eura, dok su u 2024. godini iznosile 1.591.142,51 eura, što predstavlja smanjenje od 49,9 % u odnosu na prethodnu godinu.</w:t>
      </w:r>
    </w:p>
    <w:p w:rsidR="00E4472F" w:rsidRDefault="00E4472F"/>
    <w:p w:rsidR="00E4472F" w:rsidRDefault="00000000">
      <w:pPr>
        <w:keepNext/>
        <w:spacing w:line="240" w:lineRule="auto"/>
        <w:jc w:val="center"/>
      </w:pPr>
      <w:r>
        <w:rPr>
          <w:sz w:val="28"/>
        </w:rPr>
        <w:t>Bilješka 23.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6631</w:t>
            </w:r>
          </w:p>
        </w:tc>
        <w:tc>
          <w:tcPr>
            <w:tcW w:w="3180" w:type="dxa"/>
            <w:tcMar>
              <w:top w:w="0" w:type="dxa"/>
              <w:bottom w:w="0" w:type="dxa"/>
            </w:tcMar>
            <w:vAlign w:val="center"/>
          </w:tcPr>
          <w:p w:rsidR="00E4472F" w:rsidRDefault="00000000">
            <w:pPr>
              <w:keepNext/>
              <w:keepLines/>
              <w:spacing w:after="0" w:line="240" w:lineRule="auto"/>
            </w:pPr>
            <w:r>
              <w:rPr>
                <w:sz w:val="18"/>
              </w:rPr>
              <w:t>Tekuće donacije</w:t>
            </w:r>
          </w:p>
        </w:tc>
        <w:tc>
          <w:tcPr>
            <w:tcW w:w="700" w:type="dxa"/>
            <w:tcMar>
              <w:top w:w="0" w:type="dxa"/>
              <w:bottom w:w="0" w:type="dxa"/>
            </w:tcMar>
            <w:vAlign w:val="center"/>
          </w:tcPr>
          <w:p w:rsidR="00E4472F" w:rsidRDefault="00000000">
            <w:pPr>
              <w:keepNext/>
              <w:keepLines/>
              <w:spacing w:after="0" w:line="240" w:lineRule="auto"/>
            </w:pPr>
            <w:r>
              <w:rPr>
                <w:sz w:val="18"/>
              </w:rPr>
              <w:t>6631</w:t>
            </w:r>
          </w:p>
        </w:tc>
        <w:tc>
          <w:tcPr>
            <w:tcW w:w="1860" w:type="dxa"/>
            <w:tcMar>
              <w:top w:w="0" w:type="dxa"/>
              <w:bottom w:w="0" w:type="dxa"/>
            </w:tcMar>
            <w:vAlign w:val="center"/>
          </w:tcPr>
          <w:p w:rsidR="00E4472F" w:rsidRDefault="00000000">
            <w:pPr>
              <w:keepNext/>
              <w:keepLines/>
              <w:spacing w:after="0" w:line="240" w:lineRule="auto"/>
              <w:jc w:val="right"/>
            </w:pPr>
            <w:r>
              <w:rPr>
                <w:sz w:val="18"/>
              </w:rPr>
              <w:t>1.489.582,95</w:t>
            </w:r>
          </w:p>
        </w:tc>
        <w:tc>
          <w:tcPr>
            <w:tcW w:w="1860" w:type="dxa"/>
            <w:tcMar>
              <w:top w:w="0" w:type="dxa"/>
              <w:bottom w:w="0" w:type="dxa"/>
            </w:tcMar>
            <w:vAlign w:val="center"/>
          </w:tcPr>
          <w:p w:rsidR="00E4472F" w:rsidRDefault="00000000">
            <w:pPr>
              <w:keepNext/>
              <w:keepLines/>
              <w:spacing w:after="0" w:line="240" w:lineRule="auto"/>
              <w:jc w:val="right"/>
            </w:pPr>
            <w:r>
              <w:rPr>
                <w:sz w:val="18"/>
              </w:rPr>
              <w:t>391.530,49</w:t>
            </w:r>
          </w:p>
        </w:tc>
        <w:tc>
          <w:tcPr>
            <w:tcW w:w="700" w:type="dxa"/>
            <w:tcMar>
              <w:top w:w="0" w:type="dxa"/>
              <w:bottom w:w="0" w:type="dxa"/>
            </w:tcMar>
            <w:vAlign w:val="center"/>
          </w:tcPr>
          <w:p w:rsidR="00E4472F" w:rsidRDefault="00000000">
            <w:pPr>
              <w:keepNext/>
              <w:keepLines/>
              <w:spacing w:after="0" w:line="240" w:lineRule="auto"/>
              <w:jc w:val="right"/>
            </w:pPr>
            <w:r>
              <w:rPr>
                <w:sz w:val="18"/>
              </w:rPr>
              <w:t>26,3</w:t>
            </w:r>
          </w:p>
        </w:tc>
      </w:tr>
    </w:tbl>
    <w:p w:rsidR="00E4472F" w:rsidRDefault="00E4472F">
      <w:pPr>
        <w:spacing w:after="0"/>
      </w:pPr>
    </w:p>
    <w:p w:rsidR="00E4472F" w:rsidRDefault="00000000">
      <w:pPr>
        <w:jc w:val="both"/>
      </w:pPr>
      <w:r>
        <w:t>Tekuće donacije u 2025. godini iznosile su 391.530,49 eura, dok su u 2024. godini iznosile 1.489.582,95 eura, što predstavlja smanjenje od 73,7 % u odnosu na prethodnu godinu. Najveći dio prihoda odnosi se na donacije lijekova u iznosu od 355.802,57 eura. Smanjenje iskazanih tekućih donacija prvenstveno je posljedica izmjene načina računovodstvenog evidentiranja donacija, sukladno Pravilniku o proračunskom računovodstvu, koji se primjenjuje od 1. siječnja 2025. godine. Naime, primljene donacije kratkotrajne nefinancijske imovine od subjekata unutar sustava općeg proračuna kod zdravstvenih ustanova više se ne evidentiraju kao prihod, već kao povećanje obujma imovine Bolnice, i to zaduženjem odgovarajućih osnovnih računa kratkotrajne imovine u podskupini 065 Zalihe lijekova i potrošnog medicinskog materijala kod zdravstvenih ustanova te odobrenjem odgovarajućih osnovnih računa u podskupini 915 Promjene u vrijednosti i obujmu imovine i obveza. U 2024. godini donacije krvi i krvnih pripravaka, zaprimljene od Hrvatskog zavoda za transfuzijsku medicinu, evidentirale su se u okviru ostalih prihoda, što utječe na neusporedivost iznosa tekućih donacija između 2024. i 2025. godine.</w:t>
      </w:r>
    </w:p>
    <w:p w:rsidR="00E4472F" w:rsidRDefault="00E4472F"/>
    <w:p w:rsidR="00E4472F" w:rsidRDefault="00000000">
      <w:pPr>
        <w:keepNext/>
        <w:spacing w:line="240" w:lineRule="auto"/>
        <w:jc w:val="center"/>
      </w:pPr>
      <w:r>
        <w:rPr>
          <w:sz w:val="28"/>
        </w:rPr>
        <w:t>Bilješka 24.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6632</w:t>
            </w:r>
          </w:p>
        </w:tc>
        <w:tc>
          <w:tcPr>
            <w:tcW w:w="3180" w:type="dxa"/>
            <w:tcMar>
              <w:top w:w="0" w:type="dxa"/>
              <w:bottom w:w="0" w:type="dxa"/>
            </w:tcMar>
            <w:vAlign w:val="center"/>
          </w:tcPr>
          <w:p w:rsidR="00E4472F" w:rsidRDefault="00000000">
            <w:pPr>
              <w:keepNext/>
              <w:keepLines/>
              <w:spacing w:after="0" w:line="240" w:lineRule="auto"/>
            </w:pPr>
            <w:r>
              <w:rPr>
                <w:sz w:val="18"/>
              </w:rPr>
              <w:t>Kapitalne donacije</w:t>
            </w:r>
          </w:p>
        </w:tc>
        <w:tc>
          <w:tcPr>
            <w:tcW w:w="700" w:type="dxa"/>
            <w:tcMar>
              <w:top w:w="0" w:type="dxa"/>
              <w:bottom w:w="0" w:type="dxa"/>
            </w:tcMar>
            <w:vAlign w:val="center"/>
          </w:tcPr>
          <w:p w:rsidR="00E4472F" w:rsidRDefault="00000000">
            <w:pPr>
              <w:keepNext/>
              <w:keepLines/>
              <w:spacing w:after="0" w:line="240" w:lineRule="auto"/>
            </w:pPr>
            <w:r>
              <w:rPr>
                <w:sz w:val="18"/>
              </w:rPr>
              <w:t>6632</w:t>
            </w:r>
          </w:p>
        </w:tc>
        <w:tc>
          <w:tcPr>
            <w:tcW w:w="1860" w:type="dxa"/>
            <w:tcMar>
              <w:top w:w="0" w:type="dxa"/>
              <w:bottom w:w="0" w:type="dxa"/>
            </w:tcMar>
            <w:vAlign w:val="center"/>
          </w:tcPr>
          <w:p w:rsidR="00E4472F" w:rsidRDefault="00000000">
            <w:pPr>
              <w:keepNext/>
              <w:keepLines/>
              <w:spacing w:after="0" w:line="240" w:lineRule="auto"/>
              <w:jc w:val="right"/>
            </w:pPr>
            <w:r>
              <w:rPr>
                <w:sz w:val="18"/>
              </w:rPr>
              <w:t>101.559,56</w:t>
            </w:r>
          </w:p>
        </w:tc>
        <w:tc>
          <w:tcPr>
            <w:tcW w:w="1860" w:type="dxa"/>
            <w:tcMar>
              <w:top w:w="0" w:type="dxa"/>
              <w:bottom w:w="0" w:type="dxa"/>
            </w:tcMar>
            <w:vAlign w:val="center"/>
          </w:tcPr>
          <w:p w:rsidR="00E4472F" w:rsidRDefault="00000000">
            <w:pPr>
              <w:keepNext/>
              <w:keepLines/>
              <w:spacing w:after="0" w:line="240" w:lineRule="auto"/>
              <w:jc w:val="right"/>
            </w:pPr>
            <w:r>
              <w:rPr>
                <w:sz w:val="18"/>
              </w:rPr>
              <w:t>405.348,67</w:t>
            </w:r>
          </w:p>
        </w:tc>
        <w:tc>
          <w:tcPr>
            <w:tcW w:w="700" w:type="dxa"/>
            <w:tcMar>
              <w:top w:w="0" w:type="dxa"/>
              <w:bottom w:w="0" w:type="dxa"/>
            </w:tcMar>
            <w:vAlign w:val="center"/>
          </w:tcPr>
          <w:p w:rsidR="00E4472F" w:rsidRDefault="00000000">
            <w:pPr>
              <w:keepNext/>
              <w:keepLines/>
              <w:spacing w:after="0" w:line="240" w:lineRule="auto"/>
              <w:jc w:val="right"/>
            </w:pPr>
            <w:r>
              <w:rPr>
                <w:sz w:val="18"/>
              </w:rPr>
              <w:t>399,1</w:t>
            </w:r>
          </w:p>
        </w:tc>
      </w:tr>
    </w:tbl>
    <w:p w:rsidR="00E4472F" w:rsidRDefault="00E4472F">
      <w:pPr>
        <w:spacing w:after="0"/>
      </w:pPr>
    </w:p>
    <w:p w:rsidR="00E4472F" w:rsidRDefault="00000000">
      <w:pPr>
        <w:jc w:val="both"/>
      </w:pPr>
      <w:r>
        <w:lastRenderedPageBreak/>
        <w:t xml:space="preserve">Ostvarene su kapitalne donacije u ukupnom iznosu od 405.348,67 eura, što predstavlja rast od 299,1% u odnosu na 2024. godinu kada su kapitalne donacije ostvarene u iznosu od 101.559,56 eura. Najznačajniji dio odnosi se na donacije trgovačkih društava, među kojima se ističe donacija Kluba roditelja nedonoščadi „Palčići“ za opremanje Odjela za </w:t>
      </w:r>
      <w:proofErr w:type="spellStart"/>
      <w:r>
        <w:t>neonatologiju</w:t>
      </w:r>
      <w:proofErr w:type="spellEnd"/>
      <w:r>
        <w:t xml:space="preserve"> u iznosu od 288.587,94 eura, kao i donacija aparata za dijalizu od trgovačkog društva u iznosu od 12.226,69 eura. Osim navedenog, ostvarene su i kapitalne donacije od strane fizičkih osoba u ukupnom iznosu od 103.761,14 eura, od čega se kao najznačajnija ističe donacija anesteziološkog uređaja.</w:t>
      </w:r>
    </w:p>
    <w:p w:rsidR="00E4472F" w:rsidRDefault="00E4472F"/>
    <w:p w:rsidR="00E4472F" w:rsidRDefault="00000000">
      <w:pPr>
        <w:keepNext/>
        <w:spacing w:line="240" w:lineRule="auto"/>
        <w:jc w:val="center"/>
      </w:pPr>
      <w:r>
        <w:rPr>
          <w:sz w:val="28"/>
        </w:rPr>
        <w:t>Bilješka 25.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67</w:t>
            </w:r>
          </w:p>
        </w:tc>
        <w:tc>
          <w:tcPr>
            <w:tcW w:w="3180" w:type="dxa"/>
            <w:tcMar>
              <w:top w:w="0" w:type="dxa"/>
              <w:bottom w:w="0" w:type="dxa"/>
            </w:tcMar>
            <w:vAlign w:val="center"/>
          </w:tcPr>
          <w:p w:rsidR="00E4472F" w:rsidRDefault="00000000">
            <w:pPr>
              <w:keepNext/>
              <w:keepLines/>
              <w:spacing w:after="0" w:line="240" w:lineRule="auto"/>
            </w:pPr>
            <w:r>
              <w:rPr>
                <w:sz w:val="18"/>
              </w:rPr>
              <w:t>Prihodi iz nadležnog proračuna i od HZZO-a na temelju ugovornih obveza (šifre 671+673)</w:t>
            </w:r>
          </w:p>
        </w:tc>
        <w:tc>
          <w:tcPr>
            <w:tcW w:w="700" w:type="dxa"/>
            <w:tcMar>
              <w:top w:w="0" w:type="dxa"/>
              <w:bottom w:w="0" w:type="dxa"/>
            </w:tcMar>
            <w:vAlign w:val="center"/>
          </w:tcPr>
          <w:p w:rsidR="00E4472F" w:rsidRDefault="00000000">
            <w:pPr>
              <w:keepNext/>
              <w:keepLines/>
              <w:spacing w:after="0" w:line="240" w:lineRule="auto"/>
            </w:pPr>
            <w:r>
              <w:rPr>
                <w:sz w:val="18"/>
              </w:rPr>
              <w:t>67</w:t>
            </w:r>
          </w:p>
        </w:tc>
        <w:tc>
          <w:tcPr>
            <w:tcW w:w="1860" w:type="dxa"/>
            <w:tcMar>
              <w:top w:w="0" w:type="dxa"/>
              <w:bottom w:w="0" w:type="dxa"/>
            </w:tcMar>
            <w:vAlign w:val="center"/>
          </w:tcPr>
          <w:p w:rsidR="00E4472F" w:rsidRDefault="00000000">
            <w:pPr>
              <w:keepNext/>
              <w:keepLines/>
              <w:spacing w:after="0" w:line="240" w:lineRule="auto"/>
              <w:jc w:val="right"/>
            </w:pPr>
            <w:r>
              <w:rPr>
                <w:sz w:val="18"/>
              </w:rPr>
              <w:t>80.178.147,93</w:t>
            </w:r>
          </w:p>
        </w:tc>
        <w:tc>
          <w:tcPr>
            <w:tcW w:w="1860" w:type="dxa"/>
            <w:tcMar>
              <w:top w:w="0" w:type="dxa"/>
              <w:bottom w:w="0" w:type="dxa"/>
            </w:tcMar>
            <w:vAlign w:val="center"/>
          </w:tcPr>
          <w:p w:rsidR="00E4472F" w:rsidRDefault="00000000">
            <w:pPr>
              <w:keepNext/>
              <w:keepLines/>
              <w:spacing w:after="0" w:line="240" w:lineRule="auto"/>
              <w:jc w:val="right"/>
            </w:pPr>
            <w:r>
              <w:rPr>
                <w:sz w:val="18"/>
              </w:rPr>
              <w:t>97.929.742,52</w:t>
            </w:r>
          </w:p>
        </w:tc>
        <w:tc>
          <w:tcPr>
            <w:tcW w:w="700" w:type="dxa"/>
            <w:tcMar>
              <w:top w:w="0" w:type="dxa"/>
              <w:bottom w:w="0" w:type="dxa"/>
            </w:tcMar>
            <w:vAlign w:val="center"/>
          </w:tcPr>
          <w:p w:rsidR="00E4472F" w:rsidRDefault="00000000">
            <w:pPr>
              <w:keepNext/>
              <w:keepLines/>
              <w:spacing w:after="0" w:line="240" w:lineRule="auto"/>
              <w:jc w:val="right"/>
            </w:pPr>
            <w:r>
              <w:rPr>
                <w:sz w:val="18"/>
              </w:rPr>
              <w:t>122,1</w:t>
            </w:r>
          </w:p>
        </w:tc>
      </w:tr>
    </w:tbl>
    <w:p w:rsidR="00E4472F" w:rsidRDefault="00E4472F">
      <w:pPr>
        <w:spacing w:after="0"/>
      </w:pPr>
    </w:p>
    <w:p w:rsidR="00E4472F" w:rsidRDefault="00000000">
      <w:r>
        <w:t>U okviru podskupine 67 Prihodi od nadležnog proračuna i od HZZO-a na temelju ugovornih obveza ostvareni su najznačajniji prihodi u iznosu od 97.929.742,52 eura, što je za 22,1 % više u odnosu na prihode ostvarene u 2024. godini u iznosu od 80.178.147,93 eura.</w:t>
      </w:r>
    </w:p>
    <w:p w:rsidR="00E4472F" w:rsidRDefault="00E4472F"/>
    <w:p w:rsidR="00E4472F" w:rsidRDefault="00000000">
      <w:pPr>
        <w:keepNext/>
        <w:spacing w:line="240" w:lineRule="auto"/>
        <w:jc w:val="center"/>
      </w:pPr>
      <w:r>
        <w:rPr>
          <w:sz w:val="28"/>
        </w:rPr>
        <w:t>Bilješka 26.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671</w:t>
            </w:r>
          </w:p>
        </w:tc>
        <w:tc>
          <w:tcPr>
            <w:tcW w:w="3180" w:type="dxa"/>
            <w:tcMar>
              <w:top w:w="0" w:type="dxa"/>
              <w:bottom w:w="0" w:type="dxa"/>
            </w:tcMar>
            <w:vAlign w:val="center"/>
          </w:tcPr>
          <w:p w:rsidR="00E4472F" w:rsidRDefault="00000000">
            <w:pPr>
              <w:keepNext/>
              <w:keepLines/>
              <w:spacing w:after="0" w:line="240" w:lineRule="auto"/>
            </w:pPr>
            <w:r>
              <w:rPr>
                <w:sz w:val="18"/>
              </w:rPr>
              <w:t>Prihodi iz nadležnog proračuna za financiranje redovne djelatnosti proračunskih korisnika (šifre 6711 do 6714)</w:t>
            </w:r>
          </w:p>
        </w:tc>
        <w:tc>
          <w:tcPr>
            <w:tcW w:w="700" w:type="dxa"/>
            <w:tcMar>
              <w:top w:w="0" w:type="dxa"/>
              <w:bottom w:w="0" w:type="dxa"/>
            </w:tcMar>
            <w:vAlign w:val="center"/>
          </w:tcPr>
          <w:p w:rsidR="00E4472F" w:rsidRDefault="00000000">
            <w:pPr>
              <w:keepNext/>
              <w:keepLines/>
              <w:spacing w:after="0" w:line="240" w:lineRule="auto"/>
            </w:pPr>
            <w:r>
              <w:rPr>
                <w:sz w:val="18"/>
              </w:rPr>
              <w:t>671</w:t>
            </w:r>
          </w:p>
        </w:tc>
        <w:tc>
          <w:tcPr>
            <w:tcW w:w="1860" w:type="dxa"/>
            <w:tcMar>
              <w:top w:w="0" w:type="dxa"/>
              <w:bottom w:w="0" w:type="dxa"/>
            </w:tcMar>
            <w:vAlign w:val="center"/>
          </w:tcPr>
          <w:p w:rsidR="00E4472F" w:rsidRDefault="00000000">
            <w:pPr>
              <w:keepNext/>
              <w:keepLines/>
              <w:spacing w:after="0" w:line="240" w:lineRule="auto"/>
              <w:jc w:val="right"/>
            </w:pPr>
            <w:r>
              <w:rPr>
                <w:sz w:val="18"/>
              </w:rPr>
              <w:t>3.374.451,84</w:t>
            </w:r>
          </w:p>
        </w:tc>
        <w:tc>
          <w:tcPr>
            <w:tcW w:w="1860" w:type="dxa"/>
            <w:tcMar>
              <w:top w:w="0" w:type="dxa"/>
              <w:bottom w:w="0" w:type="dxa"/>
            </w:tcMar>
            <w:vAlign w:val="center"/>
          </w:tcPr>
          <w:p w:rsidR="00E4472F" w:rsidRDefault="00000000">
            <w:pPr>
              <w:keepNext/>
              <w:keepLines/>
              <w:spacing w:after="0" w:line="240" w:lineRule="auto"/>
              <w:jc w:val="right"/>
            </w:pPr>
            <w:r>
              <w:rPr>
                <w:sz w:val="18"/>
              </w:rPr>
              <w:t>8.425.404,69</w:t>
            </w:r>
          </w:p>
        </w:tc>
        <w:tc>
          <w:tcPr>
            <w:tcW w:w="700" w:type="dxa"/>
            <w:tcMar>
              <w:top w:w="0" w:type="dxa"/>
              <w:bottom w:w="0" w:type="dxa"/>
            </w:tcMar>
            <w:vAlign w:val="center"/>
          </w:tcPr>
          <w:p w:rsidR="00E4472F" w:rsidRDefault="00000000">
            <w:pPr>
              <w:keepNext/>
              <w:keepLines/>
              <w:spacing w:after="0" w:line="240" w:lineRule="auto"/>
              <w:jc w:val="right"/>
            </w:pPr>
            <w:r>
              <w:rPr>
                <w:sz w:val="18"/>
              </w:rPr>
              <w:t>249,7</w:t>
            </w:r>
          </w:p>
        </w:tc>
      </w:tr>
    </w:tbl>
    <w:p w:rsidR="00E4472F" w:rsidRDefault="00E4472F">
      <w:pPr>
        <w:spacing w:after="0"/>
      </w:pPr>
    </w:p>
    <w:p w:rsidR="00E4472F" w:rsidRDefault="00000000">
      <w:pPr>
        <w:jc w:val="both"/>
      </w:pPr>
      <w:r>
        <w:t>Prihodi iz nadležnog proračuna za financiranje redovne djelatnosti proračunskih korisnika u 2025. godini iznose 8.425.404,69 eura, što predstavlja povećanje od 149,7 % u odnosu na 2024. godinu, kada su iznosili 3.374.451,84 EUR. Povećanje navedenih prihoda odnosi se na veći iznos doznačenih sredstava iz nadležnog proračuna za financiranje redovne djelatnosti u izvještajnom razdoblju.</w:t>
      </w:r>
    </w:p>
    <w:p w:rsidR="00E4472F" w:rsidRDefault="00E4472F"/>
    <w:p w:rsidR="00E4472F" w:rsidRDefault="00000000">
      <w:pPr>
        <w:keepNext/>
        <w:spacing w:line="240" w:lineRule="auto"/>
        <w:jc w:val="center"/>
      </w:pPr>
      <w:r>
        <w:rPr>
          <w:sz w:val="28"/>
        </w:rPr>
        <w:t>Bilješka 27.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6711</w:t>
            </w:r>
          </w:p>
        </w:tc>
        <w:tc>
          <w:tcPr>
            <w:tcW w:w="3180" w:type="dxa"/>
            <w:tcMar>
              <w:top w:w="0" w:type="dxa"/>
              <w:bottom w:w="0" w:type="dxa"/>
            </w:tcMar>
            <w:vAlign w:val="center"/>
          </w:tcPr>
          <w:p w:rsidR="00E4472F" w:rsidRDefault="00000000">
            <w:pPr>
              <w:keepNext/>
              <w:keepLines/>
              <w:spacing w:after="0" w:line="240" w:lineRule="auto"/>
            </w:pPr>
            <w:r>
              <w:rPr>
                <w:sz w:val="18"/>
              </w:rPr>
              <w:t>Prihodi iz nadležnog proračuna za financiranje rashoda poslovanja</w:t>
            </w:r>
          </w:p>
        </w:tc>
        <w:tc>
          <w:tcPr>
            <w:tcW w:w="700" w:type="dxa"/>
            <w:tcMar>
              <w:top w:w="0" w:type="dxa"/>
              <w:bottom w:w="0" w:type="dxa"/>
            </w:tcMar>
            <w:vAlign w:val="center"/>
          </w:tcPr>
          <w:p w:rsidR="00E4472F" w:rsidRDefault="00000000">
            <w:pPr>
              <w:keepNext/>
              <w:keepLines/>
              <w:spacing w:after="0" w:line="240" w:lineRule="auto"/>
            </w:pPr>
            <w:r>
              <w:rPr>
                <w:sz w:val="18"/>
              </w:rPr>
              <w:t>6711</w:t>
            </w:r>
          </w:p>
        </w:tc>
        <w:tc>
          <w:tcPr>
            <w:tcW w:w="1860" w:type="dxa"/>
            <w:tcMar>
              <w:top w:w="0" w:type="dxa"/>
              <w:bottom w:w="0" w:type="dxa"/>
            </w:tcMar>
            <w:vAlign w:val="center"/>
          </w:tcPr>
          <w:p w:rsidR="00E4472F" w:rsidRDefault="00000000">
            <w:pPr>
              <w:keepNext/>
              <w:keepLines/>
              <w:spacing w:after="0" w:line="240" w:lineRule="auto"/>
              <w:jc w:val="right"/>
            </w:pPr>
            <w:r>
              <w:rPr>
                <w:sz w:val="18"/>
              </w:rPr>
              <w:t>857.604,07</w:t>
            </w:r>
          </w:p>
        </w:tc>
        <w:tc>
          <w:tcPr>
            <w:tcW w:w="1860" w:type="dxa"/>
            <w:tcMar>
              <w:top w:w="0" w:type="dxa"/>
              <w:bottom w:w="0" w:type="dxa"/>
            </w:tcMar>
            <w:vAlign w:val="center"/>
          </w:tcPr>
          <w:p w:rsidR="00E4472F" w:rsidRDefault="00000000">
            <w:pPr>
              <w:keepNext/>
              <w:keepLines/>
              <w:spacing w:after="0" w:line="240" w:lineRule="auto"/>
              <w:jc w:val="right"/>
            </w:pPr>
            <w:r>
              <w:rPr>
                <w:sz w:val="18"/>
              </w:rPr>
              <w:t>5.381.822,23</w:t>
            </w:r>
          </w:p>
        </w:tc>
        <w:tc>
          <w:tcPr>
            <w:tcW w:w="700" w:type="dxa"/>
            <w:tcMar>
              <w:top w:w="0" w:type="dxa"/>
              <w:bottom w:w="0" w:type="dxa"/>
            </w:tcMar>
            <w:vAlign w:val="center"/>
          </w:tcPr>
          <w:p w:rsidR="00E4472F" w:rsidRDefault="00000000">
            <w:pPr>
              <w:keepNext/>
              <w:keepLines/>
              <w:spacing w:after="0" w:line="240" w:lineRule="auto"/>
              <w:jc w:val="right"/>
            </w:pPr>
            <w:r>
              <w:rPr>
                <w:sz w:val="18"/>
              </w:rPr>
              <w:t>627,5</w:t>
            </w:r>
          </w:p>
        </w:tc>
      </w:tr>
    </w:tbl>
    <w:p w:rsidR="00E4472F" w:rsidRDefault="00E4472F">
      <w:pPr>
        <w:spacing w:after="0"/>
      </w:pPr>
    </w:p>
    <w:p w:rsidR="00E4472F" w:rsidRDefault="00000000">
      <w:pPr>
        <w:jc w:val="both"/>
      </w:pPr>
      <w:r>
        <w:lastRenderedPageBreak/>
        <w:t>Na kontu prihoda 6711 Prihodi iz nadležnog proračuna za financiranje rashoda poslovanja iskazana su sredstva doznačena od strane Ministarstva zdravstva za financiranje redovnih rashoda poslovanja Bolnice, nabave nefinancijske imovine te za podmirenje obveza po osnovi otplate zajma. U 2025. godini Ministarstvo zdravstva doznačilo je Bolnici namjenska sredstva za podmirenje dijela dospjelih obveza prema dobavljačima lijekova, potrošnog i ugradbenog medicinskog materijala u ukupnom iznosu od 5.333.833,00 eura. Navedena sredstva doznačena su temeljem Odluke Vlade Republike Hrvatske od 5. lipnja 2025. godine u iznosu od 419.424,00 eura te temeljem Odluke Vlade Republike Hrvatske od 27. studenoga 2025. godine u iznosu od 4.914.409,00 eura. U 2024. godini Ministarstvo zdravstva doznačilo je Bolnici sredstva u iznosu od 820.964,14 eura kao namjensku pomoć za pokriće dijela dospjelih obveza prema dobavljačima lijekova i potrošnog medicinskog materijala, kao refundaciju sredstava isplaćenih temeljem pravomoćnih sudskih presuda koje su se odnosile na obračun dodataka na plaću za prekovremeni rad i usklađenje obračuna osnovice plaće.</w:t>
      </w:r>
    </w:p>
    <w:p w:rsidR="00E4472F" w:rsidRDefault="00000000">
      <w:pPr>
        <w:jc w:val="both"/>
      </w:pPr>
      <w:r>
        <w:t>Uz navedena sredstva, u okviru iste prihodovne pozicije u 2025. godini evidentirane su i dodatne doznake Ministarstva zdravstva, i to iznos od 21.839,05 eura za financiranje rashoda kamata za otplatu zajma te iznos od 26.150,18 eura za financiranje investicijskih troškova pripreme prostora za potrebe uvođenja jedinične terapije.</w:t>
      </w:r>
    </w:p>
    <w:p w:rsidR="00E4472F" w:rsidRDefault="00E4472F"/>
    <w:p w:rsidR="00E4472F" w:rsidRDefault="00000000">
      <w:pPr>
        <w:keepNext/>
        <w:spacing w:line="240" w:lineRule="auto"/>
        <w:jc w:val="center"/>
      </w:pPr>
      <w:r>
        <w:rPr>
          <w:sz w:val="28"/>
        </w:rPr>
        <w:t>Bilješka 28.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6712</w:t>
            </w:r>
          </w:p>
        </w:tc>
        <w:tc>
          <w:tcPr>
            <w:tcW w:w="3180" w:type="dxa"/>
            <w:tcMar>
              <w:top w:w="0" w:type="dxa"/>
              <w:bottom w:w="0" w:type="dxa"/>
            </w:tcMar>
            <w:vAlign w:val="center"/>
          </w:tcPr>
          <w:p w:rsidR="00E4472F" w:rsidRDefault="00000000">
            <w:pPr>
              <w:keepNext/>
              <w:keepLines/>
              <w:spacing w:after="0" w:line="240" w:lineRule="auto"/>
            </w:pPr>
            <w:r>
              <w:rPr>
                <w:sz w:val="18"/>
              </w:rPr>
              <w:t>Prihodi iz nadležnog proračuna za financiranje rashoda za nabavu nefinancijske imovine</w:t>
            </w:r>
          </w:p>
        </w:tc>
        <w:tc>
          <w:tcPr>
            <w:tcW w:w="700" w:type="dxa"/>
            <w:tcMar>
              <w:top w:w="0" w:type="dxa"/>
              <w:bottom w:w="0" w:type="dxa"/>
            </w:tcMar>
            <w:vAlign w:val="center"/>
          </w:tcPr>
          <w:p w:rsidR="00E4472F" w:rsidRDefault="00000000">
            <w:pPr>
              <w:keepNext/>
              <w:keepLines/>
              <w:spacing w:after="0" w:line="240" w:lineRule="auto"/>
            </w:pPr>
            <w:r>
              <w:rPr>
                <w:sz w:val="18"/>
              </w:rPr>
              <w:t>6712</w:t>
            </w:r>
          </w:p>
        </w:tc>
        <w:tc>
          <w:tcPr>
            <w:tcW w:w="1860" w:type="dxa"/>
            <w:tcMar>
              <w:top w:w="0" w:type="dxa"/>
              <w:bottom w:w="0" w:type="dxa"/>
            </w:tcMar>
            <w:vAlign w:val="center"/>
          </w:tcPr>
          <w:p w:rsidR="00E4472F" w:rsidRDefault="00000000">
            <w:pPr>
              <w:keepNext/>
              <w:keepLines/>
              <w:spacing w:after="0" w:line="240" w:lineRule="auto"/>
              <w:jc w:val="right"/>
            </w:pPr>
            <w:r>
              <w:rPr>
                <w:sz w:val="18"/>
              </w:rPr>
              <w:t>1.853.233,73</w:t>
            </w:r>
          </w:p>
        </w:tc>
        <w:tc>
          <w:tcPr>
            <w:tcW w:w="1860" w:type="dxa"/>
            <w:tcMar>
              <w:top w:w="0" w:type="dxa"/>
              <w:bottom w:w="0" w:type="dxa"/>
            </w:tcMar>
            <w:vAlign w:val="center"/>
          </w:tcPr>
          <w:p w:rsidR="00E4472F" w:rsidRDefault="00000000">
            <w:pPr>
              <w:keepNext/>
              <w:keepLines/>
              <w:spacing w:after="0" w:line="240" w:lineRule="auto"/>
              <w:jc w:val="right"/>
            </w:pPr>
            <w:r>
              <w:rPr>
                <w:sz w:val="18"/>
              </w:rPr>
              <w:t>2.379.968,46</w:t>
            </w:r>
          </w:p>
        </w:tc>
        <w:tc>
          <w:tcPr>
            <w:tcW w:w="700" w:type="dxa"/>
            <w:tcMar>
              <w:top w:w="0" w:type="dxa"/>
              <w:bottom w:w="0" w:type="dxa"/>
            </w:tcMar>
            <w:vAlign w:val="center"/>
          </w:tcPr>
          <w:p w:rsidR="00E4472F" w:rsidRDefault="00000000">
            <w:pPr>
              <w:keepNext/>
              <w:keepLines/>
              <w:spacing w:after="0" w:line="240" w:lineRule="auto"/>
              <w:jc w:val="right"/>
            </w:pPr>
            <w:r>
              <w:rPr>
                <w:sz w:val="18"/>
              </w:rPr>
              <w:t>128,4</w:t>
            </w:r>
          </w:p>
        </w:tc>
      </w:tr>
    </w:tbl>
    <w:p w:rsidR="00E4472F" w:rsidRDefault="00E4472F" w:rsidP="008D2B18">
      <w:pPr>
        <w:jc w:val="both"/>
      </w:pPr>
    </w:p>
    <w:p w:rsidR="00E4472F" w:rsidRDefault="00000000" w:rsidP="008D2B18">
      <w:pPr>
        <w:jc w:val="both"/>
      </w:pPr>
      <w:r>
        <w:t xml:space="preserve">U 2025. Ministarstvo zdravstva je doznačilo Bolnici iznos od 2.406.118,64 eura za financiranje rashoda za nabavu nefinancijske imovine, od čega se iznos od 2.230.000,00 odnosi na financiranje nabave medicinske opreme, kako slijedi: CT uređaj s 256 detektorskih redova 1.198.832,00 eura (razlika od 33.565,00 eura je financirana iz vlastitih prihoda), laserska fundus kamera s integriranim OCT-om 250.000 eura, </w:t>
      </w:r>
      <w:proofErr w:type="spellStart"/>
      <w:r>
        <w:t>artroskopski</w:t>
      </w:r>
      <w:proofErr w:type="spellEnd"/>
      <w:r>
        <w:t xml:space="preserve"> stup 139.994 eura, FESS stup 99.700 eura, uređaj za kapilarnu </w:t>
      </w:r>
      <w:proofErr w:type="spellStart"/>
      <w:r>
        <w:t>elektroforezu</w:t>
      </w:r>
      <w:proofErr w:type="spellEnd"/>
      <w:r>
        <w:t xml:space="preserve"> – sekvencer 93.772 eura, </w:t>
      </w:r>
      <w:proofErr w:type="spellStart"/>
      <w:r>
        <w:t>elektrofiziološka</w:t>
      </w:r>
      <w:proofErr w:type="spellEnd"/>
      <w:r>
        <w:t xml:space="preserve"> stanica 87.375 eura, medicinske pile/bušilice 48.300 eura, </w:t>
      </w:r>
      <w:proofErr w:type="spellStart"/>
      <w:r>
        <w:t>kolonoskop</w:t>
      </w:r>
      <w:proofErr w:type="spellEnd"/>
      <w:r>
        <w:t xml:space="preserve"> 43.748 eura, gastroskop 43.731 eura, prijenosni </w:t>
      </w:r>
      <w:proofErr w:type="spellStart"/>
      <w:r>
        <w:t>polismonograf</w:t>
      </w:r>
      <w:proofErr w:type="spellEnd"/>
      <w:r>
        <w:t xml:space="preserve"> 37.250 eura, </w:t>
      </w:r>
      <w:proofErr w:type="spellStart"/>
      <w:r>
        <w:t>duodenoskop</w:t>
      </w:r>
      <w:proofErr w:type="spellEnd"/>
      <w:r>
        <w:t xml:space="preserve"> 35.002 eura, </w:t>
      </w:r>
      <w:proofErr w:type="spellStart"/>
      <w:r>
        <w:t>injektor</w:t>
      </w:r>
      <w:proofErr w:type="spellEnd"/>
      <w:r>
        <w:t xml:space="preserve"> kontrasta za mamografiju 24.875 eura te ostale medicinske opreme.</w:t>
      </w:r>
    </w:p>
    <w:p w:rsidR="00E4472F" w:rsidRDefault="00000000" w:rsidP="008D2B18">
      <w:pPr>
        <w:jc w:val="both"/>
      </w:pPr>
      <w:r>
        <w:t>Uz navedeno, doznačen je i  iznos od 149.968,46 eura na rashode vezane uz dodatna ulaganja na građevinskim objektima Bolnice (građevinski radovi na adaptaciji Objedinjenog hitnog prijema, adaptaciji prostora za novi CT uređaj te financiranje studije izvedivosti izgradnje nove zgrade).</w:t>
      </w:r>
    </w:p>
    <w:p w:rsidR="00E4472F" w:rsidRDefault="00000000" w:rsidP="008D2B18">
      <w:pPr>
        <w:jc w:val="both"/>
      </w:pPr>
      <w:r>
        <w:t>U 2024. Ministarstvo zdravstva je doznačilo 1.853.233,73 eura za financiranje rashoda za nabavu medicinske opreme u iznosu od 1.787.793,17 eura i uredskog namještaja u iznosu od 65.449,56 eura, od čega je za iznos od 9 eura izvršen povrat u 2025. godini.</w:t>
      </w:r>
    </w:p>
    <w:p w:rsidR="00E4472F" w:rsidRDefault="00E4472F"/>
    <w:p w:rsidR="00E4472F" w:rsidRDefault="00000000">
      <w:pPr>
        <w:keepNext/>
        <w:spacing w:line="240" w:lineRule="auto"/>
        <w:jc w:val="center"/>
      </w:pPr>
      <w:r>
        <w:rPr>
          <w:sz w:val="28"/>
        </w:rPr>
        <w:t>Bilješka 29.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6714</w:t>
            </w:r>
          </w:p>
        </w:tc>
        <w:tc>
          <w:tcPr>
            <w:tcW w:w="3180" w:type="dxa"/>
            <w:tcMar>
              <w:top w:w="0" w:type="dxa"/>
              <w:bottom w:w="0" w:type="dxa"/>
            </w:tcMar>
            <w:vAlign w:val="center"/>
          </w:tcPr>
          <w:p w:rsidR="00E4472F" w:rsidRDefault="00000000">
            <w:pPr>
              <w:keepNext/>
              <w:keepLines/>
              <w:spacing w:after="0" w:line="240" w:lineRule="auto"/>
            </w:pPr>
            <w:r>
              <w:rPr>
                <w:sz w:val="18"/>
              </w:rPr>
              <w:t>Prihodi iz nadležnog proračuna za financiranje izdataka za financijsku imovinu i otplatu zajmova</w:t>
            </w:r>
          </w:p>
        </w:tc>
        <w:tc>
          <w:tcPr>
            <w:tcW w:w="700" w:type="dxa"/>
            <w:tcMar>
              <w:top w:w="0" w:type="dxa"/>
              <w:bottom w:w="0" w:type="dxa"/>
            </w:tcMar>
            <w:vAlign w:val="center"/>
          </w:tcPr>
          <w:p w:rsidR="00E4472F" w:rsidRDefault="00000000">
            <w:pPr>
              <w:keepNext/>
              <w:keepLines/>
              <w:spacing w:after="0" w:line="240" w:lineRule="auto"/>
            </w:pPr>
            <w:r>
              <w:rPr>
                <w:sz w:val="18"/>
              </w:rPr>
              <w:t>6714</w:t>
            </w:r>
          </w:p>
        </w:tc>
        <w:tc>
          <w:tcPr>
            <w:tcW w:w="1860" w:type="dxa"/>
            <w:tcMar>
              <w:top w:w="0" w:type="dxa"/>
              <w:bottom w:w="0" w:type="dxa"/>
            </w:tcMar>
            <w:vAlign w:val="center"/>
          </w:tcPr>
          <w:p w:rsidR="00E4472F" w:rsidRDefault="00000000">
            <w:pPr>
              <w:keepNext/>
              <w:keepLines/>
              <w:spacing w:after="0" w:line="240" w:lineRule="auto"/>
              <w:jc w:val="right"/>
            </w:pPr>
            <w:r>
              <w:rPr>
                <w:sz w:val="18"/>
              </w:rPr>
              <w:t>663.614,04</w:t>
            </w:r>
          </w:p>
        </w:tc>
        <w:tc>
          <w:tcPr>
            <w:tcW w:w="1860" w:type="dxa"/>
            <w:tcMar>
              <w:top w:w="0" w:type="dxa"/>
              <w:bottom w:w="0" w:type="dxa"/>
            </w:tcMar>
            <w:vAlign w:val="center"/>
          </w:tcPr>
          <w:p w:rsidR="00E4472F" w:rsidRDefault="00000000">
            <w:pPr>
              <w:keepNext/>
              <w:keepLines/>
              <w:spacing w:after="0" w:line="240" w:lineRule="auto"/>
              <w:jc w:val="right"/>
            </w:pPr>
            <w:r>
              <w:rPr>
                <w:sz w:val="18"/>
              </w:rPr>
              <w:t>663.614,00</w:t>
            </w:r>
          </w:p>
        </w:tc>
        <w:tc>
          <w:tcPr>
            <w:tcW w:w="700" w:type="dxa"/>
            <w:tcMar>
              <w:top w:w="0" w:type="dxa"/>
              <w:bottom w:w="0" w:type="dxa"/>
            </w:tcMar>
            <w:vAlign w:val="center"/>
          </w:tcPr>
          <w:p w:rsidR="00E4472F" w:rsidRDefault="00000000">
            <w:pPr>
              <w:keepNext/>
              <w:keepLines/>
              <w:spacing w:after="0" w:line="240" w:lineRule="auto"/>
              <w:jc w:val="right"/>
            </w:pPr>
            <w:r>
              <w:rPr>
                <w:sz w:val="18"/>
              </w:rPr>
              <w:t>100,0</w:t>
            </w:r>
          </w:p>
        </w:tc>
      </w:tr>
    </w:tbl>
    <w:p w:rsidR="00E4472F" w:rsidRDefault="00E4472F">
      <w:pPr>
        <w:spacing w:after="0"/>
      </w:pPr>
    </w:p>
    <w:p w:rsidR="00E4472F" w:rsidRDefault="00000000">
      <w:r>
        <w:t>Za financiranje izdataka za otplatu zajmova nadležno Ministarstvo zdravstva doznačilo je sredstva u iznosu od 663.614, 00 eura u 2024. i 2025. godini. U 2025. godini izvršena je otplata posljednjeg anuiteta po kreditu odobrenom od Privredne banke Zagreb (PBZ), koji je bio namijenjen financiranju nove medicinske opreme.</w:t>
      </w:r>
    </w:p>
    <w:p w:rsidR="00E4472F" w:rsidRDefault="00E4472F"/>
    <w:p w:rsidR="00E4472F" w:rsidRDefault="00000000">
      <w:pPr>
        <w:keepNext/>
        <w:spacing w:line="240" w:lineRule="auto"/>
        <w:jc w:val="center"/>
      </w:pPr>
      <w:r>
        <w:rPr>
          <w:sz w:val="28"/>
        </w:rPr>
        <w:t>Bilješka 30.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673</w:t>
            </w:r>
          </w:p>
        </w:tc>
        <w:tc>
          <w:tcPr>
            <w:tcW w:w="3180" w:type="dxa"/>
            <w:tcMar>
              <w:top w:w="0" w:type="dxa"/>
              <w:bottom w:w="0" w:type="dxa"/>
            </w:tcMar>
            <w:vAlign w:val="center"/>
          </w:tcPr>
          <w:p w:rsidR="00E4472F" w:rsidRDefault="00000000">
            <w:pPr>
              <w:keepNext/>
              <w:keepLines/>
              <w:spacing w:after="0" w:line="240" w:lineRule="auto"/>
            </w:pPr>
            <w:r>
              <w:rPr>
                <w:sz w:val="18"/>
              </w:rPr>
              <w:t>Prihodi od HZZO-a na temelju ugovornih obveza</w:t>
            </w:r>
          </w:p>
        </w:tc>
        <w:tc>
          <w:tcPr>
            <w:tcW w:w="700" w:type="dxa"/>
            <w:tcMar>
              <w:top w:w="0" w:type="dxa"/>
              <w:bottom w:w="0" w:type="dxa"/>
            </w:tcMar>
            <w:vAlign w:val="center"/>
          </w:tcPr>
          <w:p w:rsidR="00E4472F" w:rsidRDefault="00000000">
            <w:pPr>
              <w:keepNext/>
              <w:keepLines/>
              <w:spacing w:after="0" w:line="240" w:lineRule="auto"/>
            </w:pPr>
            <w:r>
              <w:rPr>
                <w:sz w:val="18"/>
              </w:rPr>
              <w:t>673</w:t>
            </w:r>
          </w:p>
        </w:tc>
        <w:tc>
          <w:tcPr>
            <w:tcW w:w="1860" w:type="dxa"/>
            <w:tcMar>
              <w:top w:w="0" w:type="dxa"/>
              <w:bottom w:w="0" w:type="dxa"/>
            </w:tcMar>
            <w:vAlign w:val="center"/>
          </w:tcPr>
          <w:p w:rsidR="00E4472F" w:rsidRDefault="00000000">
            <w:pPr>
              <w:keepNext/>
              <w:keepLines/>
              <w:spacing w:after="0" w:line="240" w:lineRule="auto"/>
              <w:jc w:val="right"/>
            </w:pPr>
            <w:r>
              <w:rPr>
                <w:sz w:val="18"/>
              </w:rPr>
              <w:t>76.803.696,09</w:t>
            </w:r>
          </w:p>
        </w:tc>
        <w:tc>
          <w:tcPr>
            <w:tcW w:w="1860" w:type="dxa"/>
            <w:tcMar>
              <w:top w:w="0" w:type="dxa"/>
              <w:bottom w:w="0" w:type="dxa"/>
            </w:tcMar>
            <w:vAlign w:val="center"/>
          </w:tcPr>
          <w:p w:rsidR="00E4472F" w:rsidRDefault="00000000">
            <w:pPr>
              <w:keepNext/>
              <w:keepLines/>
              <w:spacing w:after="0" w:line="240" w:lineRule="auto"/>
              <w:jc w:val="right"/>
            </w:pPr>
            <w:r>
              <w:rPr>
                <w:sz w:val="18"/>
              </w:rPr>
              <w:t>89.504.337,83</w:t>
            </w:r>
          </w:p>
        </w:tc>
        <w:tc>
          <w:tcPr>
            <w:tcW w:w="700" w:type="dxa"/>
            <w:tcMar>
              <w:top w:w="0" w:type="dxa"/>
              <w:bottom w:w="0" w:type="dxa"/>
            </w:tcMar>
            <w:vAlign w:val="center"/>
          </w:tcPr>
          <w:p w:rsidR="00E4472F" w:rsidRDefault="00000000">
            <w:pPr>
              <w:keepNext/>
              <w:keepLines/>
              <w:spacing w:after="0" w:line="240" w:lineRule="auto"/>
              <w:jc w:val="right"/>
            </w:pPr>
            <w:r>
              <w:rPr>
                <w:sz w:val="18"/>
              </w:rPr>
              <w:t>116,5</w:t>
            </w:r>
          </w:p>
        </w:tc>
      </w:tr>
    </w:tbl>
    <w:p w:rsidR="00E4472F" w:rsidRDefault="00E4472F">
      <w:pPr>
        <w:spacing w:after="0"/>
      </w:pPr>
    </w:p>
    <w:p w:rsidR="00E4472F" w:rsidRDefault="00000000">
      <w:pPr>
        <w:jc w:val="both"/>
      </w:pPr>
      <w:r>
        <w:t>U razdoblju od 1. siječnja do 31. prosinca 2025. Bolnica je evidentirala 89.504.337,83 eura prihoda od HZZO-a na temelju ugovorne obveze što predstavlja rast od 16,5% u odnosu na 2024. godinu kad je ostvareno 76.803.696,09 eura prihoda. Najznačajniji rast prihoda ostvaren je po osnovi provođenja bolničke i specijalističko-konzilijarne zdravstvene zaštite osiguranim osobama HZZO-a, odnosno po osnovi osnovnog limita, koji je u 2025. godini ostvaren u iznosu od 83.907.411,79 eura. U odnosu na 2024. godinu to predstavlja povećanje od 14.987.227,98 eura, a rezultat je rasta vrijednosti DTS-a i DTP-a u odnosu na njihove vrijednosti u 2024. godini, kao i povećanja broja epizoda liječenja.</w:t>
      </w:r>
    </w:p>
    <w:p w:rsidR="00E4472F" w:rsidRDefault="00000000">
      <w:pPr>
        <w:jc w:val="both"/>
      </w:pPr>
      <w:r>
        <w:t>U 2025. godini ostvareno je ukupno 42.386 epizoda liječenja više u odnosu na 2024. godinu. Najveći rast zabilježen je u okviru specijalističko-konzilijarne zdravstvene zaštite, s povećanjem od 35.049 pacijenata, zatim u okviru dnevne bolnice i jednodnevne kirurgije s 6.713 pacijenata više, dok je u okviru bolničkog liječenja evidentirano 624 pacijenta više u odnosu na prethodnu godinu. U 2025. godini Bolnica je s HZZO-om ugovorila osnovni limit u iznosu od 84.542.863,07 eura. Tijekom izvještajnog razdoblja fakturirane su zdravstvene usluge po osnovnom limitu u ukupnom iznosu od 85.565.894,48 eura, pri čemu iznos od 1.461.175,36 eura nije dospio, odnosno nije priznat u izvještajnom razdoblju.</w:t>
      </w:r>
    </w:p>
    <w:p w:rsidR="00E4472F" w:rsidRDefault="00000000">
      <w:pPr>
        <w:jc w:val="both"/>
      </w:pPr>
      <w:r>
        <w:t xml:space="preserve">Prihodi ostvareni od pruženih usluga izvan ugovorenog limita u 2025. godini iznosili su ukupno 5.596.926,04 eura te su u odnosu na 2024. godinu manji za 2.286.586,24 eura. Najznačajnije smanjenje prihoda ostvareno je po osnovi naknada za posebno skupe lijekove, i to u iznosu od 675.598,58 eura, kao i po osnovi prihoda od inozemnog zdravstvenog osiguranja, u iznosu od 765.991,24 eura u odnosu na 2024. godinu. Navedeno smanjenje prvenstveno je posljedica činjenice da u 2025. godini nisu ostvareni prihodi vezani uz </w:t>
      </w:r>
      <w:r>
        <w:lastRenderedPageBreak/>
        <w:t xml:space="preserve">liječenje specijalnim programom skupim lijekom </w:t>
      </w:r>
      <w:proofErr w:type="spellStart"/>
      <w:r>
        <w:t>Luxturna</w:t>
      </w:r>
      <w:proofErr w:type="spellEnd"/>
      <w:r>
        <w:t>, koji su bili evidentirani u prethodnoj godini.</w:t>
      </w:r>
    </w:p>
    <w:p w:rsidR="00E4472F" w:rsidRDefault="00000000">
      <w:pPr>
        <w:jc w:val="both"/>
      </w:pPr>
      <w:r>
        <w:t>Prihodi ugovoreni izvan osnovnog limita u 2025. godini ostvareni su po sljedećim osnovama: naknade za posebno skupe lijekove u iznosu od 2.762.560,52 eura, prihodi od inozemnog zdravstvenog osiguranja u iznosu od 1.251.242,81 eura, prihodi od ugovorenih usluga medicinski potpomognute oplodnje u iznosu od 1.035.698,08 eura, prihodi od invazivne kardiologije u iznosu od 354.999,23 eura, prihodi od refundacije sredstava za rad liječnika bez specijalizacije pod nadzorom u iznosu od 111.402,66 eura, prihodi od invazivne neurologije u iznosu od 52.454,89 eura, prihodi od provedbe Nacionalnog preventivnog programa ranog otkrivanja raka pluća u iznosu od 9.983,85 eura, prihodi od provedbe Nacionalnog preventivnog programa ranog otkrivanja slabovidnosti kod djece u iznosu od 8.358,92 eura, prihodi od eksplantacije u iznosu od 1.173,65 eura, te ostali prihodi ostvareni izvan ugovorenog limita.</w:t>
      </w:r>
    </w:p>
    <w:p w:rsidR="00E4472F" w:rsidRDefault="00E4472F"/>
    <w:p w:rsidR="00E4472F" w:rsidRDefault="00000000">
      <w:pPr>
        <w:keepNext/>
        <w:spacing w:line="240" w:lineRule="auto"/>
        <w:jc w:val="center"/>
      </w:pPr>
      <w:r>
        <w:rPr>
          <w:sz w:val="28"/>
        </w:rPr>
        <w:t>Bilješka 31.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68</w:t>
            </w:r>
          </w:p>
        </w:tc>
        <w:tc>
          <w:tcPr>
            <w:tcW w:w="3180" w:type="dxa"/>
            <w:tcMar>
              <w:top w:w="0" w:type="dxa"/>
              <w:bottom w:w="0" w:type="dxa"/>
            </w:tcMar>
            <w:vAlign w:val="center"/>
          </w:tcPr>
          <w:p w:rsidR="00E4472F" w:rsidRDefault="00000000">
            <w:pPr>
              <w:keepNext/>
              <w:keepLines/>
              <w:spacing w:after="0" w:line="240" w:lineRule="auto"/>
            </w:pPr>
            <w:r>
              <w:rPr>
                <w:sz w:val="18"/>
              </w:rPr>
              <w:t>Kazne, upravne mjere i ostali prihodi (šifre 681+683)</w:t>
            </w:r>
          </w:p>
        </w:tc>
        <w:tc>
          <w:tcPr>
            <w:tcW w:w="700" w:type="dxa"/>
            <w:tcMar>
              <w:top w:w="0" w:type="dxa"/>
              <w:bottom w:w="0" w:type="dxa"/>
            </w:tcMar>
            <w:vAlign w:val="center"/>
          </w:tcPr>
          <w:p w:rsidR="00E4472F" w:rsidRDefault="00000000">
            <w:pPr>
              <w:keepNext/>
              <w:keepLines/>
              <w:spacing w:after="0" w:line="240" w:lineRule="auto"/>
            </w:pPr>
            <w:r>
              <w:rPr>
                <w:sz w:val="18"/>
              </w:rPr>
              <w:t>68</w:t>
            </w:r>
          </w:p>
        </w:tc>
        <w:tc>
          <w:tcPr>
            <w:tcW w:w="1860" w:type="dxa"/>
            <w:tcMar>
              <w:top w:w="0" w:type="dxa"/>
              <w:bottom w:w="0" w:type="dxa"/>
            </w:tcMar>
            <w:vAlign w:val="center"/>
          </w:tcPr>
          <w:p w:rsidR="00E4472F" w:rsidRDefault="00000000">
            <w:pPr>
              <w:keepNext/>
              <w:keepLines/>
              <w:spacing w:after="0" w:line="240" w:lineRule="auto"/>
              <w:jc w:val="right"/>
            </w:pPr>
            <w:r>
              <w:rPr>
                <w:sz w:val="18"/>
              </w:rPr>
              <w:t>70.813,94</w:t>
            </w:r>
          </w:p>
        </w:tc>
        <w:tc>
          <w:tcPr>
            <w:tcW w:w="1860" w:type="dxa"/>
            <w:tcMar>
              <w:top w:w="0" w:type="dxa"/>
              <w:bottom w:w="0" w:type="dxa"/>
            </w:tcMar>
            <w:vAlign w:val="center"/>
          </w:tcPr>
          <w:p w:rsidR="00E4472F" w:rsidRDefault="00000000">
            <w:pPr>
              <w:keepNext/>
              <w:keepLines/>
              <w:spacing w:after="0" w:line="240" w:lineRule="auto"/>
              <w:jc w:val="right"/>
            </w:pPr>
            <w:r>
              <w:rPr>
                <w:sz w:val="18"/>
              </w:rPr>
              <w:t>88.923,05</w:t>
            </w:r>
          </w:p>
        </w:tc>
        <w:tc>
          <w:tcPr>
            <w:tcW w:w="700" w:type="dxa"/>
            <w:tcMar>
              <w:top w:w="0" w:type="dxa"/>
              <w:bottom w:w="0" w:type="dxa"/>
            </w:tcMar>
            <w:vAlign w:val="center"/>
          </w:tcPr>
          <w:p w:rsidR="00E4472F" w:rsidRDefault="00000000">
            <w:pPr>
              <w:keepNext/>
              <w:keepLines/>
              <w:spacing w:after="0" w:line="240" w:lineRule="auto"/>
              <w:jc w:val="right"/>
            </w:pPr>
            <w:r>
              <w:rPr>
                <w:sz w:val="18"/>
              </w:rPr>
              <w:t>125,6</w:t>
            </w:r>
          </w:p>
        </w:tc>
      </w:tr>
    </w:tbl>
    <w:p w:rsidR="00E4472F" w:rsidRDefault="00E4472F">
      <w:pPr>
        <w:spacing w:after="0"/>
      </w:pPr>
    </w:p>
    <w:p w:rsidR="00E4472F" w:rsidRDefault="00000000">
      <w:r>
        <w:t>Kazne, upravne mjere i ostali prihodi u 2025. godini iznose 88.923,05 eura, što predstavlja povećanje od 25,6 % u odnosu na 2024. godinu, kada su iznosili 70.813,94 eura. Povećanje navedenih prihoda odnosi se na rast ostalih povremenih prihoda.</w:t>
      </w:r>
    </w:p>
    <w:p w:rsidR="00E4472F" w:rsidRDefault="00E4472F"/>
    <w:p w:rsidR="00E4472F" w:rsidRDefault="00000000">
      <w:pPr>
        <w:keepNext/>
        <w:spacing w:line="240" w:lineRule="auto"/>
        <w:jc w:val="center"/>
      </w:pPr>
      <w:r>
        <w:rPr>
          <w:sz w:val="28"/>
        </w:rPr>
        <w:t>Bilješka 32.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683</w:t>
            </w:r>
          </w:p>
        </w:tc>
        <w:tc>
          <w:tcPr>
            <w:tcW w:w="3180" w:type="dxa"/>
            <w:tcMar>
              <w:top w:w="0" w:type="dxa"/>
              <w:bottom w:w="0" w:type="dxa"/>
            </w:tcMar>
            <w:vAlign w:val="center"/>
          </w:tcPr>
          <w:p w:rsidR="00E4472F" w:rsidRDefault="00000000">
            <w:pPr>
              <w:keepNext/>
              <w:keepLines/>
              <w:spacing w:after="0" w:line="240" w:lineRule="auto"/>
            </w:pPr>
            <w:r>
              <w:rPr>
                <w:sz w:val="18"/>
              </w:rPr>
              <w:t>Ostali prihodi</w:t>
            </w:r>
          </w:p>
        </w:tc>
        <w:tc>
          <w:tcPr>
            <w:tcW w:w="700" w:type="dxa"/>
            <w:tcMar>
              <w:top w:w="0" w:type="dxa"/>
              <w:bottom w:w="0" w:type="dxa"/>
            </w:tcMar>
            <w:vAlign w:val="center"/>
          </w:tcPr>
          <w:p w:rsidR="00E4472F" w:rsidRDefault="00000000">
            <w:pPr>
              <w:keepNext/>
              <w:keepLines/>
              <w:spacing w:after="0" w:line="240" w:lineRule="auto"/>
            </w:pPr>
            <w:r>
              <w:rPr>
                <w:sz w:val="18"/>
              </w:rPr>
              <w:t>683</w:t>
            </w:r>
          </w:p>
        </w:tc>
        <w:tc>
          <w:tcPr>
            <w:tcW w:w="1860" w:type="dxa"/>
            <w:tcMar>
              <w:top w:w="0" w:type="dxa"/>
              <w:bottom w:w="0" w:type="dxa"/>
            </w:tcMar>
            <w:vAlign w:val="center"/>
          </w:tcPr>
          <w:p w:rsidR="00E4472F" w:rsidRDefault="00000000">
            <w:pPr>
              <w:keepNext/>
              <w:keepLines/>
              <w:spacing w:after="0" w:line="240" w:lineRule="auto"/>
              <w:jc w:val="right"/>
            </w:pPr>
            <w:r>
              <w:rPr>
                <w:sz w:val="18"/>
              </w:rPr>
              <w:t>70.813,94</w:t>
            </w:r>
          </w:p>
        </w:tc>
        <w:tc>
          <w:tcPr>
            <w:tcW w:w="1860" w:type="dxa"/>
            <w:tcMar>
              <w:top w:w="0" w:type="dxa"/>
              <w:bottom w:w="0" w:type="dxa"/>
            </w:tcMar>
            <w:vAlign w:val="center"/>
          </w:tcPr>
          <w:p w:rsidR="00E4472F" w:rsidRDefault="00000000">
            <w:pPr>
              <w:keepNext/>
              <w:keepLines/>
              <w:spacing w:after="0" w:line="240" w:lineRule="auto"/>
              <w:jc w:val="right"/>
            </w:pPr>
            <w:r>
              <w:rPr>
                <w:sz w:val="18"/>
              </w:rPr>
              <w:t>88.923,05</w:t>
            </w:r>
          </w:p>
        </w:tc>
        <w:tc>
          <w:tcPr>
            <w:tcW w:w="700" w:type="dxa"/>
            <w:tcMar>
              <w:top w:w="0" w:type="dxa"/>
              <w:bottom w:w="0" w:type="dxa"/>
            </w:tcMar>
            <w:vAlign w:val="center"/>
          </w:tcPr>
          <w:p w:rsidR="00E4472F" w:rsidRDefault="00000000">
            <w:pPr>
              <w:keepNext/>
              <w:keepLines/>
              <w:spacing w:after="0" w:line="240" w:lineRule="auto"/>
              <w:jc w:val="right"/>
            </w:pPr>
            <w:r>
              <w:rPr>
                <w:sz w:val="18"/>
              </w:rPr>
              <w:t>125,6</w:t>
            </w:r>
          </w:p>
        </w:tc>
      </w:tr>
    </w:tbl>
    <w:p w:rsidR="00E4472F" w:rsidRDefault="00E4472F">
      <w:pPr>
        <w:spacing w:after="0"/>
      </w:pPr>
    </w:p>
    <w:p w:rsidR="00E4472F" w:rsidRDefault="00000000">
      <w:r>
        <w:t xml:space="preserve">Ostali prihodi u 2025. godini iznose 88.923,05 eura, što predstavlja povećanje od 25,6 % u odnosu na 2024. godinu, kada su iznosili 70.813,94 eura, najvećim dijelom odnose se na prihode ostvarene od </w:t>
      </w:r>
      <w:proofErr w:type="spellStart"/>
      <w:r>
        <w:t>Multisport</w:t>
      </w:r>
      <w:proofErr w:type="spellEnd"/>
      <w:r>
        <w:t xml:space="preserve"> kartice, prihodi od fizičkih osoba po sudskim presudama i ostali prihodi.</w:t>
      </w:r>
    </w:p>
    <w:p w:rsidR="00E4472F" w:rsidRDefault="00E4472F"/>
    <w:p w:rsidR="00E4472F" w:rsidRDefault="00000000">
      <w:pPr>
        <w:keepNext/>
        <w:spacing w:line="240" w:lineRule="auto"/>
        <w:jc w:val="center"/>
      </w:pPr>
      <w:r>
        <w:rPr>
          <w:sz w:val="28"/>
        </w:rPr>
        <w:lastRenderedPageBreak/>
        <w:t>Bilješka 33.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w:t>
            </w:r>
          </w:p>
        </w:tc>
        <w:tc>
          <w:tcPr>
            <w:tcW w:w="3180" w:type="dxa"/>
            <w:tcMar>
              <w:top w:w="0" w:type="dxa"/>
              <w:bottom w:w="0" w:type="dxa"/>
            </w:tcMar>
            <w:vAlign w:val="center"/>
          </w:tcPr>
          <w:p w:rsidR="00E4472F" w:rsidRDefault="00000000">
            <w:pPr>
              <w:keepNext/>
              <w:keepLines/>
              <w:spacing w:after="0" w:line="240" w:lineRule="auto"/>
            </w:pPr>
            <w:r>
              <w:rPr>
                <w:sz w:val="18"/>
              </w:rPr>
              <w:t>RASHODI POSLOVANJA (šifre 31+32+34+35+36+37+38)</w:t>
            </w:r>
          </w:p>
        </w:tc>
        <w:tc>
          <w:tcPr>
            <w:tcW w:w="700" w:type="dxa"/>
            <w:tcMar>
              <w:top w:w="0" w:type="dxa"/>
              <w:bottom w:w="0" w:type="dxa"/>
            </w:tcMar>
            <w:vAlign w:val="center"/>
          </w:tcPr>
          <w:p w:rsidR="00E4472F" w:rsidRDefault="00000000">
            <w:pPr>
              <w:keepNext/>
              <w:keepLines/>
              <w:spacing w:after="0" w:line="240" w:lineRule="auto"/>
            </w:pPr>
            <w:r>
              <w:rPr>
                <w:sz w:val="18"/>
              </w:rPr>
              <w:t>3</w:t>
            </w:r>
          </w:p>
        </w:tc>
        <w:tc>
          <w:tcPr>
            <w:tcW w:w="1860" w:type="dxa"/>
            <w:tcMar>
              <w:top w:w="0" w:type="dxa"/>
              <w:bottom w:w="0" w:type="dxa"/>
            </w:tcMar>
            <w:vAlign w:val="center"/>
          </w:tcPr>
          <w:p w:rsidR="00E4472F" w:rsidRDefault="00000000">
            <w:pPr>
              <w:keepNext/>
              <w:keepLines/>
              <w:spacing w:after="0" w:line="240" w:lineRule="auto"/>
              <w:jc w:val="right"/>
            </w:pPr>
            <w:r>
              <w:rPr>
                <w:sz w:val="18"/>
              </w:rPr>
              <w:t>102.451.658,24</w:t>
            </w:r>
          </w:p>
        </w:tc>
        <w:tc>
          <w:tcPr>
            <w:tcW w:w="1860" w:type="dxa"/>
            <w:tcMar>
              <w:top w:w="0" w:type="dxa"/>
              <w:bottom w:w="0" w:type="dxa"/>
            </w:tcMar>
            <w:vAlign w:val="center"/>
          </w:tcPr>
          <w:p w:rsidR="00E4472F" w:rsidRDefault="00000000">
            <w:pPr>
              <w:keepNext/>
              <w:keepLines/>
              <w:spacing w:after="0" w:line="240" w:lineRule="auto"/>
              <w:jc w:val="right"/>
            </w:pPr>
            <w:r>
              <w:rPr>
                <w:sz w:val="18"/>
              </w:rPr>
              <w:t>115.765.377,28</w:t>
            </w:r>
          </w:p>
        </w:tc>
        <w:tc>
          <w:tcPr>
            <w:tcW w:w="700" w:type="dxa"/>
            <w:tcMar>
              <w:top w:w="0" w:type="dxa"/>
              <w:bottom w:w="0" w:type="dxa"/>
            </w:tcMar>
            <w:vAlign w:val="center"/>
          </w:tcPr>
          <w:p w:rsidR="00E4472F" w:rsidRDefault="00000000">
            <w:pPr>
              <w:keepNext/>
              <w:keepLines/>
              <w:spacing w:after="0" w:line="240" w:lineRule="auto"/>
              <w:jc w:val="right"/>
            </w:pPr>
            <w:r>
              <w:rPr>
                <w:sz w:val="18"/>
              </w:rPr>
              <w:t>113,0</w:t>
            </w:r>
          </w:p>
        </w:tc>
      </w:tr>
    </w:tbl>
    <w:p w:rsidR="00E4472F" w:rsidRDefault="00E4472F">
      <w:pPr>
        <w:spacing w:after="0"/>
      </w:pPr>
    </w:p>
    <w:p w:rsidR="00E4472F" w:rsidRDefault="00000000">
      <w:pPr>
        <w:jc w:val="both"/>
      </w:pPr>
      <w:r>
        <w:t>Ukupni rashodi poslovanja u 2025. godini iznose 115.765.377,28 eura, što predstavlja povećanje od 13 % u odnosu na prethodno izvještajno razdoblje, kada su iznosili 102.451.658,24 eura. Povećanju rashoda poslovanja najznačajnije su pridonijeli rashodi za zaposlene i materijalni rashodi, s posebnim naglaskom na povećanje rashoda za lijekove i potrošni medicinski materijal, koji imaju značajan udio u strukturi materijalnih rashoda.</w:t>
      </w:r>
    </w:p>
    <w:p w:rsidR="00E4472F" w:rsidRDefault="00E4472F"/>
    <w:p w:rsidR="00E4472F" w:rsidRDefault="00000000">
      <w:pPr>
        <w:keepNext/>
        <w:spacing w:line="240" w:lineRule="auto"/>
        <w:jc w:val="center"/>
      </w:pPr>
      <w:r>
        <w:rPr>
          <w:sz w:val="28"/>
        </w:rPr>
        <w:t>Bilješka 34.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31</w:t>
            </w:r>
          </w:p>
        </w:tc>
        <w:tc>
          <w:tcPr>
            <w:tcW w:w="3180" w:type="dxa"/>
            <w:tcMar>
              <w:top w:w="0" w:type="dxa"/>
              <w:bottom w:w="0" w:type="dxa"/>
            </w:tcMar>
            <w:vAlign w:val="center"/>
          </w:tcPr>
          <w:p w:rsidR="00E4472F" w:rsidRDefault="00000000">
            <w:pPr>
              <w:keepNext/>
              <w:keepLines/>
              <w:spacing w:after="0" w:line="240" w:lineRule="auto"/>
            </w:pPr>
            <w:r>
              <w:rPr>
                <w:sz w:val="18"/>
              </w:rPr>
              <w:t>Rashodi za zaposlene (šifre 311+312+313)</w:t>
            </w:r>
          </w:p>
        </w:tc>
        <w:tc>
          <w:tcPr>
            <w:tcW w:w="700" w:type="dxa"/>
            <w:tcMar>
              <w:top w:w="0" w:type="dxa"/>
              <w:bottom w:w="0" w:type="dxa"/>
            </w:tcMar>
            <w:vAlign w:val="center"/>
          </w:tcPr>
          <w:p w:rsidR="00E4472F" w:rsidRDefault="00000000">
            <w:pPr>
              <w:keepNext/>
              <w:keepLines/>
              <w:spacing w:after="0" w:line="240" w:lineRule="auto"/>
            </w:pPr>
            <w:r>
              <w:rPr>
                <w:sz w:val="18"/>
              </w:rPr>
              <w:t>31</w:t>
            </w:r>
          </w:p>
        </w:tc>
        <w:tc>
          <w:tcPr>
            <w:tcW w:w="1860" w:type="dxa"/>
            <w:tcMar>
              <w:top w:w="0" w:type="dxa"/>
              <w:bottom w:w="0" w:type="dxa"/>
            </w:tcMar>
            <w:vAlign w:val="center"/>
          </w:tcPr>
          <w:p w:rsidR="00E4472F" w:rsidRDefault="00000000">
            <w:pPr>
              <w:keepNext/>
              <w:keepLines/>
              <w:spacing w:after="0" w:line="240" w:lineRule="auto"/>
              <w:jc w:val="right"/>
            </w:pPr>
            <w:r>
              <w:rPr>
                <w:sz w:val="18"/>
              </w:rPr>
              <w:t>64.663.459,47</w:t>
            </w:r>
          </w:p>
        </w:tc>
        <w:tc>
          <w:tcPr>
            <w:tcW w:w="1860" w:type="dxa"/>
            <w:tcMar>
              <w:top w:w="0" w:type="dxa"/>
              <w:bottom w:w="0" w:type="dxa"/>
            </w:tcMar>
            <w:vAlign w:val="center"/>
          </w:tcPr>
          <w:p w:rsidR="00E4472F" w:rsidRDefault="00000000">
            <w:pPr>
              <w:keepNext/>
              <w:keepLines/>
              <w:spacing w:after="0" w:line="240" w:lineRule="auto"/>
              <w:jc w:val="right"/>
            </w:pPr>
            <w:r>
              <w:rPr>
                <w:sz w:val="18"/>
              </w:rPr>
              <w:t>73.411.852,31</w:t>
            </w:r>
          </w:p>
        </w:tc>
        <w:tc>
          <w:tcPr>
            <w:tcW w:w="700" w:type="dxa"/>
            <w:tcMar>
              <w:top w:w="0" w:type="dxa"/>
              <w:bottom w:w="0" w:type="dxa"/>
            </w:tcMar>
            <w:vAlign w:val="center"/>
          </w:tcPr>
          <w:p w:rsidR="00E4472F" w:rsidRDefault="00000000">
            <w:pPr>
              <w:keepNext/>
              <w:keepLines/>
              <w:spacing w:after="0" w:line="240" w:lineRule="auto"/>
              <w:jc w:val="right"/>
            </w:pPr>
            <w:r>
              <w:rPr>
                <w:sz w:val="18"/>
              </w:rPr>
              <w:t>113,5</w:t>
            </w:r>
          </w:p>
        </w:tc>
      </w:tr>
    </w:tbl>
    <w:p w:rsidR="00E4472F" w:rsidRDefault="00E4472F">
      <w:pPr>
        <w:spacing w:after="0"/>
      </w:pPr>
    </w:p>
    <w:p w:rsidR="00E4472F" w:rsidRDefault="00000000">
      <w:pPr>
        <w:jc w:val="both"/>
      </w:pPr>
      <w:r>
        <w:t>U razdoblju od 1. siječnja do 31. prosinca 2025. rashodi za zaposlene iznosili su 73.411.852,31 eura, što predstavlja povećanje od 13,5 % u odnosu na 2024. godinu, kada su iznosili 64.663.459,47 eura.</w:t>
      </w:r>
    </w:p>
    <w:p w:rsidR="00E4472F" w:rsidRDefault="00000000">
      <w:pPr>
        <w:jc w:val="both"/>
      </w:pPr>
      <w:r>
        <w:t>Rast rashoda za zaposlene prvenstveno je posljedica izmjena prava službenika i namještenika u javnim službama, koje su se tijekom 2025. godine očitovale kroz povećanje osnovice za obračun plaća. Sukladno Odluci Vlade Republike Hrvatske o visini osnovice za obračun plaće u javnim službama u 2025. godini (Narodne novine, br. 155/24), osnovica je utvrđena u iznosu od 947,18 eura za siječanj, 975,60 eura za razdoblje od veljače do kolovoza, te 1.004,87 eura od rujna nadalje. Slijedom navedenoga, tijekom 2025. godine zabilježen je rast osnovice za obračun plaća u javnom sektoru od približno 3 % od veljače, te dodatnih približno 3 % od rujna. Uz povećanje osnovice, na rast rashoda za zaposlene utjecao je i porast broja zaposlenih u Bolnici, s 1.740 zaposlenih na dan 31. prosinca 2024. godine na 1.799 zaposlenih na dan 31. prosinca 2025. godine.</w:t>
      </w:r>
    </w:p>
    <w:p w:rsidR="00E4472F" w:rsidRDefault="00000000">
      <w:pPr>
        <w:jc w:val="both"/>
      </w:pPr>
      <w:r>
        <w:t>Važno je istaknuti kako na kretanje rashoda za zaposlene izravno utječe primjena obvezujućih prava iz kolektivnih ugovora za službenike i namještenike u javnim službama, osobito u dijelu koji se odnosi na kretanje iznosa osnovice za obračun plaće, kao i na određena druga materijalna prava. Uprava Bolnice nema diskrecijsko pravo utjecaja na navedene rashode, već je obvezna osigurati njihovu primjenu u skladu s važećim propisima.</w:t>
      </w:r>
    </w:p>
    <w:p w:rsidR="00E4472F" w:rsidRDefault="00E4472F"/>
    <w:p w:rsidR="00E4472F" w:rsidRDefault="00000000">
      <w:pPr>
        <w:keepNext/>
        <w:spacing w:line="240" w:lineRule="auto"/>
        <w:jc w:val="center"/>
      </w:pPr>
      <w:r>
        <w:rPr>
          <w:sz w:val="28"/>
        </w:rPr>
        <w:lastRenderedPageBreak/>
        <w:t>Bilješka 35.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311</w:t>
            </w:r>
          </w:p>
        </w:tc>
        <w:tc>
          <w:tcPr>
            <w:tcW w:w="3180" w:type="dxa"/>
            <w:tcMar>
              <w:top w:w="0" w:type="dxa"/>
              <w:bottom w:w="0" w:type="dxa"/>
            </w:tcMar>
            <w:vAlign w:val="center"/>
          </w:tcPr>
          <w:p w:rsidR="00E4472F" w:rsidRDefault="00000000">
            <w:pPr>
              <w:keepNext/>
              <w:keepLines/>
              <w:spacing w:after="0" w:line="240" w:lineRule="auto"/>
            </w:pPr>
            <w:r>
              <w:rPr>
                <w:sz w:val="18"/>
              </w:rPr>
              <w:t>Plaće (bruto) (šifre 3111 do 3114)</w:t>
            </w:r>
          </w:p>
        </w:tc>
        <w:tc>
          <w:tcPr>
            <w:tcW w:w="700" w:type="dxa"/>
            <w:tcMar>
              <w:top w:w="0" w:type="dxa"/>
              <w:bottom w:w="0" w:type="dxa"/>
            </w:tcMar>
            <w:vAlign w:val="center"/>
          </w:tcPr>
          <w:p w:rsidR="00E4472F" w:rsidRDefault="00000000">
            <w:pPr>
              <w:keepNext/>
              <w:keepLines/>
              <w:spacing w:after="0" w:line="240" w:lineRule="auto"/>
            </w:pPr>
            <w:r>
              <w:rPr>
                <w:sz w:val="18"/>
              </w:rPr>
              <w:t>311</w:t>
            </w:r>
          </w:p>
        </w:tc>
        <w:tc>
          <w:tcPr>
            <w:tcW w:w="1860" w:type="dxa"/>
            <w:tcMar>
              <w:top w:w="0" w:type="dxa"/>
              <w:bottom w:w="0" w:type="dxa"/>
            </w:tcMar>
            <w:vAlign w:val="center"/>
          </w:tcPr>
          <w:p w:rsidR="00E4472F" w:rsidRDefault="00000000">
            <w:pPr>
              <w:keepNext/>
              <w:keepLines/>
              <w:spacing w:after="0" w:line="240" w:lineRule="auto"/>
              <w:jc w:val="right"/>
            </w:pPr>
            <w:r>
              <w:rPr>
                <w:sz w:val="18"/>
              </w:rPr>
              <w:t>54.751.692,20</w:t>
            </w:r>
          </w:p>
        </w:tc>
        <w:tc>
          <w:tcPr>
            <w:tcW w:w="1860" w:type="dxa"/>
            <w:tcMar>
              <w:top w:w="0" w:type="dxa"/>
              <w:bottom w:w="0" w:type="dxa"/>
            </w:tcMar>
            <w:vAlign w:val="center"/>
          </w:tcPr>
          <w:p w:rsidR="00E4472F" w:rsidRDefault="00000000">
            <w:pPr>
              <w:keepNext/>
              <w:keepLines/>
              <w:spacing w:after="0" w:line="240" w:lineRule="auto"/>
              <w:jc w:val="right"/>
            </w:pPr>
            <w:r>
              <w:rPr>
                <w:sz w:val="18"/>
              </w:rPr>
              <w:t>62.372.992,52</w:t>
            </w:r>
          </w:p>
        </w:tc>
        <w:tc>
          <w:tcPr>
            <w:tcW w:w="700" w:type="dxa"/>
            <w:tcMar>
              <w:top w:w="0" w:type="dxa"/>
              <w:bottom w:w="0" w:type="dxa"/>
            </w:tcMar>
            <w:vAlign w:val="center"/>
          </w:tcPr>
          <w:p w:rsidR="00E4472F" w:rsidRDefault="00000000">
            <w:pPr>
              <w:keepNext/>
              <w:keepLines/>
              <w:spacing w:after="0" w:line="240" w:lineRule="auto"/>
              <w:jc w:val="right"/>
            </w:pPr>
            <w:r>
              <w:rPr>
                <w:sz w:val="18"/>
              </w:rPr>
              <w:t>113,9</w:t>
            </w:r>
          </w:p>
        </w:tc>
      </w:tr>
    </w:tbl>
    <w:p w:rsidR="00E4472F" w:rsidRDefault="00E4472F">
      <w:pPr>
        <w:spacing w:after="0"/>
      </w:pPr>
    </w:p>
    <w:p w:rsidR="00E4472F" w:rsidRDefault="00000000" w:rsidP="008D2B18">
      <w:pPr>
        <w:jc w:val="both"/>
      </w:pPr>
      <w:r>
        <w:t>Trošak plaća u 2025. godini iznosi 62.372.992,52 EUR, što predstavlja povećanje od 13,9 % u odnosu na isto razdoblje prethodne godine. Na rast bruto plaća utjecalo je povećanje osnovice za obračun plaće, kao i povećanje broja zaposlenih u 2025. godini. Unutar rashoda za bruto plaće značajan dio odnosi se na obvezna dežurstva u iznosu od 10.599.169,27 EUR, pripravnosti u iznosu od 490.710,73 EUR te rad po pozivu iz pripravnosti u iznosu od 95.318,33 EUR.</w:t>
      </w:r>
    </w:p>
    <w:p w:rsidR="00E4472F" w:rsidRDefault="00E4472F"/>
    <w:p w:rsidR="00E4472F" w:rsidRDefault="00000000">
      <w:pPr>
        <w:keepNext/>
        <w:spacing w:line="240" w:lineRule="auto"/>
        <w:jc w:val="center"/>
      </w:pPr>
      <w:r>
        <w:rPr>
          <w:sz w:val="28"/>
        </w:rPr>
        <w:t>Bilješka 36.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3111</w:t>
            </w:r>
          </w:p>
        </w:tc>
        <w:tc>
          <w:tcPr>
            <w:tcW w:w="3180" w:type="dxa"/>
            <w:tcMar>
              <w:top w:w="0" w:type="dxa"/>
              <w:bottom w:w="0" w:type="dxa"/>
            </w:tcMar>
            <w:vAlign w:val="center"/>
          </w:tcPr>
          <w:p w:rsidR="00E4472F" w:rsidRDefault="00000000">
            <w:pPr>
              <w:keepNext/>
              <w:keepLines/>
              <w:spacing w:after="0" w:line="240" w:lineRule="auto"/>
            </w:pPr>
            <w:r>
              <w:rPr>
                <w:sz w:val="18"/>
              </w:rPr>
              <w:t>Plaće za redovan rad</w:t>
            </w:r>
          </w:p>
        </w:tc>
        <w:tc>
          <w:tcPr>
            <w:tcW w:w="700" w:type="dxa"/>
            <w:tcMar>
              <w:top w:w="0" w:type="dxa"/>
              <w:bottom w:w="0" w:type="dxa"/>
            </w:tcMar>
            <w:vAlign w:val="center"/>
          </w:tcPr>
          <w:p w:rsidR="00E4472F" w:rsidRDefault="00000000">
            <w:pPr>
              <w:keepNext/>
              <w:keepLines/>
              <w:spacing w:after="0" w:line="240" w:lineRule="auto"/>
            </w:pPr>
            <w:r>
              <w:rPr>
                <w:sz w:val="18"/>
              </w:rPr>
              <w:t>3111</w:t>
            </w:r>
          </w:p>
        </w:tc>
        <w:tc>
          <w:tcPr>
            <w:tcW w:w="1860" w:type="dxa"/>
            <w:tcMar>
              <w:top w:w="0" w:type="dxa"/>
              <w:bottom w:w="0" w:type="dxa"/>
            </w:tcMar>
            <w:vAlign w:val="center"/>
          </w:tcPr>
          <w:p w:rsidR="00E4472F" w:rsidRDefault="00000000">
            <w:pPr>
              <w:keepNext/>
              <w:keepLines/>
              <w:spacing w:after="0" w:line="240" w:lineRule="auto"/>
              <w:jc w:val="right"/>
            </w:pPr>
            <w:r>
              <w:rPr>
                <w:sz w:val="18"/>
              </w:rPr>
              <w:t>46.364.949,73</w:t>
            </w:r>
          </w:p>
        </w:tc>
        <w:tc>
          <w:tcPr>
            <w:tcW w:w="1860" w:type="dxa"/>
            <w:tcMar>
              <w:top w:w="0" w:type="dxa"/>
              <w:bottom w:w="0" w:type="dxa"/>
            </w:tcMar>
            <w:vAlign w:val="center"/>
          </w:tcPr>
          <w:p w:rsidR="00E4472F" w:rsidRDefault="00000000">
            <w:pPr>
              <w:keepNext/>
              <w:keepLines/>
              <w:spacing w:after="0" w:line="240" w:lineRule="auto"/>
              <w:jc w:val="right"/>
            </w:pPr>
            <w:r>
              <w:rPr>
                <w:sz w:val="18"/>
              </w:rPr>
              <w:t>53.737.675,50</w:t>
            </w:r>
          </w:p>
        </w:tc>
        <w:tc>
          <w:tcPr>
            <w:tcW w:w="700" w:type="dxa"/>
            <w:tcMar>
              <w:top w:w="0" w:type="dxa"/>
              <w:bottom w:w="0" w:type="dxa"/>
            </w:tcMar>
            <w:vAlign w:val="center"/>
          </w:tcPr>
          <w:p w:rsidR="00E4472F" w:rsidRDefault="00000000">
            <w:pPr>
              <w:keepNext/>
              <w:keepLines/>
              <w:spacing w:after="0" w:line="240" w:lineRule="auto"/>
              <w:jc w:val="right"/>
            </w:pPr>
            <w:r>
              <w:rPr>
                <w:sz w:val="18"/>
              </w:rPr>
              <w:t>115,9</w:t>
            </w:r>
          </w:p>
        </w:tc>
      </w:tr>
    </w:tbl>
    <w:p w:rsidR="00E4472F" w:rsidRDefault="00E4472F">
      <w:pPr>
        <w:spacing w:after="0"/>
      </w:pPr>
    </w:p>
    <w:p w:rsidR="00E4472F" w:rsidRDefault="00000000">
      <w:r>
        <w:t>U 2025. trošak plaće za redovni rad iznosi 53.737.675,50 eura i veći je za 15,9% u odnosu na  isto razdoblje prošle godine. Na rast plaće za redovan rad utjecalo je navedeno povećanje osnovice za obračun plaće te povećanje broja zaposlenih.</w:t>
      </w:r>
    </w:p>
    <w:p w:rsidR="00E4472F" w:rsidRDefault="00E4472F"/>
    <w:p w:rsidR="00E4472F" w:rsidRDefault="00000000">
      <w:pPr>
        <w:keepNext/>
        <w:spacing w:line="240" w:lineRule="auto"/>
        <w:jc w:val="center"/>
      </w:pPr>
      <w:r>
        <w:rPr>
          <w:sz w:val="28"/>
        </w:rPr>
        <w:t>Bilješka 37.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3113</w:t>
            </w:r>
          </w:p>
        </w:tc>
        <w:tc>
          <w:tcPr>
            <w:tcW w:w="3180" w:type="dxa"/>
            <w:tcMar>
              <w:top w:w="0" w:type="dxa"/>
              <w:bottom w:w="0" w:type="dxa"/>
            </w:tcMar>
            <w:vAlign w:val="center"/>
          </w:tcPr>
          <w:p w:rsidR="00E4472F" w:rsidRDefault="00000000">
            <w:pPr>
              <w:keepNext/>
              <w:keepLines/>
              <w:spacing w:after="0" w:line="240" w:lineRule="auto"/>
            </w:pPr>
            <w:r>
              <w:rPr>
                <w:sz w:val="18"/>
              </w:rPr>
              <w:t>Plaće za prekovremeni rad</w:t>
            </w:r>
          </w:p>
        </w:tc>
        <w:tc>
          <w:tcPr>
            <w:tcW w:w="700" w:type="dxa"/>
            <w:tcMar>
              <w:top w:w="0" w:type="dxa"/>
              <w:bottom w:w="0" w:type="dxa"/>
            </w:tcMar>
            <w:vAlign w:val="center"/>
          </w:tcPr>
          <w:p w:rsidR="00E4472F" w:rsidRDefault="00000000">
            <w:pPr>
              <w:keepNext/>
              <w:keepLines/>
              <w:spacing w:after="0" w:line="240" w:lineRule="auto"/>
            </w:pPr>
            <w:r>
              <w:rPr>
                <w:sz w:val="18"/>
              </w:rPr>
              <w:t>3113</w:t>
            </w:r>
          </w:p>
        </w:tc>
        <w:tc>
          <w:tcPr>
            <w:tcW w:w="1860" w:type="dxa"/>
            <w:tcMar>
              <w:top w:w="0" w:type="dxa"/>
              <w:bottom w:w="0" w:type="dxa"/>
            </w:tcMar>
            <w:vAlign w:val="center"/>
          </w:tcPr>
          <w:p w:rsidR="00E4472F" w:rsidRDefault="00000000">
            <w:pPr>
              <w:keepNext/>
              <w:keepLines/>
              <w:spacing w:after="0" w:line="240" w:lineRule="auto"/>
              <w:jc w:val="right"/>
            </w:pPr>
            <w:r>
              <w:rPr>
                <w:sz w:val="18"/>
              </w:rPr>
              <w:t>7.542.933,46</w:t>
            </w:r>
          </w:p>
        </w:tc>
        <w:tc>
          <w:tcPr>
            <w:tcW w:w="1860" w:type="dxa"/>
            <w:tcMar>
              <w:top w:w="0" w:type="dxa"/>
              <w:bottom w:w="0" w:type="dxa"/>
            </w:tcMar>
            <w:vAlign w:val="center"/>
          </w:tcPr>
          <w:p w:rsidR="00E4472F" w:rsidRDefault="00000000">
            <w:pPr>
              <w:keepNext/>
              <w:keepLines/>
              <w:spacing w:after="0" w:line="240" w:lineRule="auto"/>
              <w:jc w:val="right"/>
            </w:pPr>
            <w:r>
              <w:rPr>
                <w:sz w:val="18"/>
              </w:rPr>
              <w:t>8.635.317,02</w:t>
            </w:r>
          </w:p>
        </w:tc>
        <w:tc>
          <w:tcPr>
            <w:tcW w:w="700" w:type="dxa"/>
            <w:tcMar>
              <w:top w:w="0" w:type="dxa"/>
              <w:bottom w:w="0" w:type="dxa"/>
            </w:tcMar>
            <w:vAlign w:val="center"/>
          </w:tcPr>
          <w:p w:rsidR="00E4472F" w:rsidRDefault="00000000">
            <w:pPr>
              <w:keepNext/>
              <w:keepLines/>
              <w:spacing w:after="0" w:line="240" w:lineRule="auto"/>
              <w:jc w:val="right"/>
            </w:pPr>
            <w:r>
              <w:rPr>
                <w:sz w:val="18"/>
              </w:rPr>
              <w:t>114,5</w:t>
            </w:r>
          </w:p>
        </w:tc>
      </w:tr>
    </w:tbl>
    <w:p w:rsidR="00E4472F" w:rsidRDefault="00E4472F">
      <w:pPr>
        <w:spacing w:after="0"/>
      </w:pPr>
    </w:p>
    <w:p w:rsidR="00E4472F" w:rsidRDefault="00000000">
      <w:pPr>
        <w:jc w:val="both"/>
      </w:pPr>
      <w:r>
        <w:t>Rashodi za plaće po osnovi prekovremenog rada u 2025. godini iznosili su 8.635.317,02 EUR, što predstavlja povećanje od 14,5 % u odnosu na 2024. godinu. Najveći dio navedenih rashoda odnosi se na zdravstvene djelatnike, u iznosu od 8.154.287,62 EUR, dok se na nezdravstvene djelatnike odnosi 481.029,40 EUR. Povećanje broja prekovremenih sati zabilježeno je ponajprije u djelatnostima s izraženim manjkom liječnika, osobito u Zavodu za radiologiju i Objedinjenom hitnom prijemu, kao i u djelatnostima s nedostatnim brojem medicinskih sestara, koje zajedno ostvaruju više od polovice ukupnog broja prekovremenih sati.</w:t>
      </w:r>
    </w:p>
    <w:p w:rsidR="00E4472F" w:rsidRDefault="00E4472F"/>
    <w:p w:rsidR="00E4472F" w:rsidRDefault="00000000">
      <w:pPr>
        <w:keepNext/>
        <w:spacing w:line="240" w:lineRule="auto"/>
        <w:jc w:val="center"/>
      </w:pPr>
      <w:r>
        <w:rPr>
          <w:sz w:val="28"/>
        </w:rPr>
        <w:lastRenderedPageBreak/>
        <w:t>Bilješka 38.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312</w:t>
            </w:r>
          </w:p>
        </w:tc>
        <w:tc>
          <w:tcPr>
            <w:tcW w:w="3180" w:type="dxa"/>
            <w:tcMar>
              <w:top w:w="0" w:type="dxa"/>
              <w:bottom w:w="0" w:type="dxa"/>
            </w:tcMar>
            <w:vAlign w:val="center"/>
          </w:tcPr>
          <w:p w:rsidR="00E4472F" w:rsidRDefault="00000000">
            <w:pPr>
              <w:keepNext/>
              <w:keepLines/>
              <w:spacing w:after="0" w:line="240" w:lineRule="auto"/>
            </w:pPr>
            <w:r>
              <w:rPr>
                <w:sz w:val="18"/>
              </w:rPr>
              <w:t>Ostali rashodi za zaposlene</w:t>
            </w:r>
          </w:p>
        </w:tc>
        <w:tc>
          <w:tcPr>
            <w:tcW w:w="700" w:type="dxa"/>
            <w:tcMar>
              <w:top w:w="0" w:type="dxa"/>
              <w:bottom w:w="0" w:type="dxa"/>
            </w:tcMar>
            <w:vAlign w:val="center"/>
          </w:tcPr>
          <w:p w:rsidR="00E4472F" w:rsidRDefault="00000000">
            <w:pPr>
              <w:keepNext/>
              <w:keepLines/>
              <w:spacing w:after="0" w:line="240" w:lineRule="auto"/>
            </w:pPr>
            <w:r>
              <w:rPr>
                <w:sz w:val="18"/>
              </w:rPr>
              <w:t>312</w:t>
            </w:r>
          </w:p>
        </w:tc>
        <w:tc>
          <w:tcPr>
            <w:tcW w:w="1860" w:type="dxa"/>
            <w:tcMar>
              <w:top w:w="0" w:type="dxa"/>
              <w:bottom w:w="0" w:type="dxa"/>
            </w:tcMar>
            <w:vAlign w:val="center"/>
          </w:tcPr>
          <w:p w:rsidR="00E4472F" w:rsidRDefault="00000000">
            <w:pPr>
              <w:keepNext/>
              <w:keepLines/>
              <w:spacing w:after="0" w:line="240" w:lineRule="auto"/>
              <w:jc w:val="right"/>
            </w:pPr>
            <w:r>
              <w:rPr>
                <w:sz w:val="18"/>
              </w:rPr>
              <w:t>1.634.136,30</w:t>
            </w:r>
          </w:p>
        </w:tc>
        <w:tc>
          <w:tcPr>
            <w:tcW w:w="1860" w:type="dxa"/>
            <w:tcMar>
              <w:top w:w="0" w:type="dxa"/>
              <w:bottom w:w="0" w:type="dxa"/>
            </w:tcMar>
            <w:vAlign w:val="center"/>
          </w:tcPr>
          <w:p w:rsidR="00E4472F" w:rsidRDefault="00000000">
            <w:pPr>
              <w:keepNext/>
              <w:keepLines/>
              <w:spacing w:after="0" w:line="240" w:lineRule="auto"/>
              <w:jc w:val="right"/>
            </w:pPr>
            <w:r>
              <w:rPr>
                <w:sz w:val="18"/>
              </w:rPr>
              <w:t>1.808.587,72</w:t>
            </w:r>
          </w:p>
        </w:tc>
        <w:tc>
          <w:tcPr>
            <w:tcW w:w="700" w:type="dxa"/>
            <w:tcMar>
              <w:top w:w="0" w:type="dxa"/>
              <w:bottom w:w="0" w:type="dxa"/>
            </w:tcMar>
            <w:vAlign w:val="center"/>
          </w:tcPr>
          <w:p w:rsidR="00E4472F" w:rsidRDefault="00000000">
            <w:pPr>
              <w:keepNext/>
              <w:keepLines/>
              <w:spacing w:after="0" w:line="240" w:lineRule="auto"/>
              <w:jc w:val="right"/>
            </w:pPr>
            <w:r>
              <w:rPr>
                <w:sz w:val="18"/>
              </w:rPr>
              <w:t>110,7</w:t>
            </w:r>
          </w:p>
        </w:tc>
      </w:tr>
    </w:tbl>
    <w:p w:rsidR="00E4472F" w:rsidRDefault="00E4472F">
      <w:pPr>
        <w:spacing w:after="0"/>
      </w:pPr>
    </w:p>
    <w:p w:rsidR="00E4472F" w:rsidRDefault="00000000">
      <w:pPr>
        <w:jc w:val="both"/>
      </w:pPr>
      <w:r>
        <w:t xml:space="preserve">Ostali rashodi za zaposlene ostvareni su u iznosu od 1.808.587,72 eura, što predstavlja povećanje od 10,7 % u odnosu na 2024. godinu, kada su iznosili 1.634.136,30 eura. U strukturi ostalih rashoda za zaposlene evidentirani su troškovi materijalnih prava radnika, koji obuhvaćaju: božićnice u iznosu od 543.791,37 eura, regrese za godišnji odmor u iznosu od 569.508,78 eura, </w:t>
      </w:r>
      <w:proofErr w:type="spellStart"/>
      <w:r>
        <w:t>uskrsnice</w:t>
      </w:r>
      <w:proofErr w:type="spellEnd"/>
      <w:r>
        <w:t xml:space="preserve"> u iznosu od 177.100,00 eura, poklone za djecu u iznosu od 111.943,20 eura, otpremnine u iznosu od 114.593,58 eura, ostale naknade vezane uz bolest i invalidnost u iznosu od 75.755,61 eura, te jubilarne nagrade radnicima u ukupnom iznosu od 215.895,18 eura.</w:t>
      </w:r>
    </w:p>
    <w:p w:rsidR="00E4472F" w:rsidRDefault="00E4472F"/>
    <w:p w:rsidR="00E4472F" w:rsidRDefault="00000000">
      <w:pPr>
        <w:keepNext/>
        <w:spacing w:line="240" w:lineRule="auto"/>
        <w:jc w:val="center"/>
      </w:pPr>
      <w:r>
        <w:rPr>
          <w:sz w:val="28"/>
        </w:rPr>
        <w:t>Bilješka 39.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313</w:t>
            </w:r>
          </w:p>
        </w:tc>
        <w:tc>
          <w:tcPr>
            <w:tcW w:w="3180" w:type="dxa"/>
            <w:tcMar>
              <w:top w:w="0" w:type="dxa"/>
              <w:bottom w:w="0" w:type="dxa"/>
            </w:tcMar>
            <w:vAlign w:val="center"/>
          </w:tcPr>
          <w:p w:rsidR="00E4472F" w:rsidRDefault="00000000">
            <w:pPr>
              <w:keepNext/>
              <w:keepLines/>
              <w:spacing w:after="0" w:line="240" w:lineRule="auto"/>
            </w:pPr>
            <w:r>
              <w:rPr>
                <w:sz w:val="18"/>
              </w:rPr>
              <w:t>Doprinosi na plaće (šifre 3131 do 3133)</w:t>
            </w:r>
          </w:p>
        </w:tc>
        <w:tc>
          <w:tcPr>
            <w:tcW w:w="700" w:type="dxa"/>
            <w:tcMar>
              <w:top w:w="0" w:type="dxa"/>
              <w:bottom w:w="0" w:type="dxa"/>
            </w:tcMar>
            <w:vAlign w:val="center"/>
          </w:tcPr>
          <w:p w:rsidR="00E4472F" w:rsidRDefault="00000000">
            <w:pPr>
              <w:keepNext/>
              <w:keepLines/>
              <w:spacing w:after="0" w:line="240" w:lineRule="auto"/>
            </w:pPr>
            <w:r>
              <w:rPr>
                <w:sz w:val="18"/>
              </w:rPr>
              <w:t>313</w:t>
            </w:r>
          </w:p>
        </w:tc>
        <w:tc>
          <w:tcPr>
            <w:tcW w:w="1860" w:type="dxa"/>
            <w:tcMar>
              <w:top w:w="0" w:type="dxa"/>
              <w:bottom w:w="0" w:type="dxa"/>
            </w:tcMar>
            <w:vAlign w:val="center"/>
          </w:tcPr>
          <w:p w:rsidR="00E4472F" w:rsidRDefault="00000000">
            <w:pPr>
              <w:keepNext/>
              <w:keepLines/>
              <w:spacing w:after="0" w:line="240" w:lineRule="auto"/>
              <w:jc w:val="right"/>
            </w:pPr>
            <w:r>
              <w:rPr>
                <w:sz w:val="18"/>
              </w:rPr>
              <w:t>8.277.630,97</w:t>
            </w:r>
          </w:p>
        </w:tc>
        <w:tc>
          <w:tcPr>
            <w:tcW w:w="1860" w:type="dxa"/>
            <w:tcMar>
              <w:top w:w="0" w:type="dxa"/>
              <w:bottom w:w="0" w:type="dxa"/>
            </w:tcMar>
            <w:vAlign w:val="center"/>
          </w:tcPr>
          <w:p w:rsidR="00E4472F" w:rsidRDefault="00000000">
            <w:pPr>
              <w:keepNext/>
              <w:keepLines/>
              <w:spacing w:after="0" w:line="240" w:lineRule="auto"/>
              <w:jc w:val="right"/>
            </w:pPr>
            <w:r>
              <w:rPr>
                <w:sz w:val="18"/>
              </w:rPr>
              <w:t>9.230.272,07</w:t>
            </w:r>
          </w:p>
        </w:tc>
        <w:tc>
          <w:tcPr>
            <w:tcW w:w="700" w:type="dxa"/>
            <w:tcMar>
              <w:top w:w="0" w:type="dxa"/>
              <w:bottom w:w="0" w:type="dxa"/>
            </w:tcMar>
            <w:vAlign w:val="center"/>
          </w:tcPr>
          <w:p w:rsidR="00E4472F" w:rsidRDefault="00000000">
            <w:pPr>
              <w:keepNext/>
              <w:keepLines/>
              <w:spacing w:after="0" w:line="240" w:lineRule="auto"/>
              <w:jc w:val="right"/>
            </w:pPr>
            <w:r>
              <w:rPr>
                <w:sz w:val="18"/>
              </w:rPr>
              <w:t>111,5</w:t>
            </w:r>
          </w:p>
        </w:tc>
      </w:tr>
    </w:tbl>
    <w:p w:rsidR="00E4472F" w:rsidRDefault="00E4472F">
      <w:pPr>
        <w:spacing w:after="0"/>
      </w:pPr>
    </w:p>
    <w:p w:rsidR="00E4472F" w:rsidRDefault="00000000">
      <w:pPr>
        <w:jc w:val="both"/>
      </w:pPr>
      <w:r>
        <w:t>Doprinosi na plaće u 2025. godini iznosili su 9.230.272,07 eura, što predstavlja povećanje od 11,5 % u odnosu na 2024. godinu. Rast doprinosa izravna je posljedica povećanja bruto plaća, uzrokovanog prethodno navedenim promjenama osnovice za obračun plaća te ostalim obvezujućim pravima zaposlenika. U strukturi doprinosa na plaće, doprinosi za obvezno zdravstveno osiguranje iznosili su 9.225.642,98 eura, što predstavlja povećanje od 11,5 % u odnosu na 2024. godinu, kada su iznosili 8.274.186,72 eura. Uz navedeno, isplaćeni su i doprinosi za obvezno osiguranje u slučaju nezaposlenosti u iznosu od 4.629,09 eura, i to temeljem pravomoćnih sudskih presuda, koje se odnose na radnike za razdoblja u kojima su se navedeni doprinosi obračunavali i uplaćivali prije njihovog ukidanja.</w:t>
      </w:r>
    </w:p>
    <w:p w:rsidR="00E4472F" w:rsidRDefault="00E4472F"/>
    <w:p w:rsidR="00E4472F" w:rsidRDefault="00000000">
      <w:pPr>
        <w:keepNext/>
        <w:spacing w:line="240" w:lineRule="auto"/>
        <w:jc w:val="center"/>
      </w:pPr>
      <w:r>
        <w:rPr>
          <w:sz w:val="28"/>
        </w:rPr>
        <w:t>Bilješka 40.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3132</w:t>
            </w:r>
          </w:p>
        </w:tc>
        <w:tc>
          <w:tcPr>
            <w:tcW w:w="3180" w:type="dxa"/>
            <w:tcMar>
              <w:top w:w="0" w:type="dxa"/>
              <w:bottom w:w="0" w:type="dxa"/>
            </w:tcMar>
            <w:vAlign w:val="center"/>
          </w:tcPr>
          <w:p w:rsidR="00E4472F" w:rsidRDefault="00000000">
            <w:pPr>
              <w:keepNext/>
              <w:keepLines/>
              <w:spacing w:after="0" w:line="240" w:lineRule="auto"/>
            </w:pPr>
            <w:r>
              <w:rPr>
                <w:sz w:val="18"/>
              </w:rPr>
              <w:t>Doprinosi za obvezno zdravstveno osiguranje</w:t>
            </w:r>
          </w:p>
        </w:tc>
        <w:tc>
          <w:tcPr>
            <w:tcW w:w="700" w:type="dxa"/>
            <w:tcMar>
              <w:top w:w="0" w:type="dxa"/>
              <w:bottom w:w="0" w:type="dxa"/>
            </w:tcMar>
            <w:vAlign w:val="center"/>
          </w:tcPr>
          <w:p w:rsidR="00E4472F" w:rsidRDefault="00000000">
            <w:pPr>
              <w:keepNext/>
              <w:keepLines/>
              <w:spacing w:after="0" w:line="240" w:lineRule="auto"/>
            </w:pPr>
            <w:r>
              <w:rPr>
                <w:sz w:val="18"/>
              </w:rPr>
              <w:t>3132</w:t>
            </w:r>
          </w:p>
        </w:tc>
        <w:tc>
          <w:tcPr>
            <w:tcW w:w="1860" w:type="dxa"/>
            <w:tcMar>
              <w:top w:w="0" w:type="dxa"/>
              <w:bottom w:w="0" w:type="dxa"/>
            </w:tcMar>
            <w:vAlign w:val="center"/>
          </w:tcPr>
          <w:p w:rsidR="00E4472F" w:rsidRDefault="00000000">
            <w:pPr>
              <w:keepNext/>
              <w:keepLines/>
              <w:spacing w:after="0" w:line="240" w:lineRule="auto"/>
              <w:jc w:val="right"/>
            </w:pPr>
            <w:r>
              <w:rPr>
                <w:sz w:val="18"/>
              </w:rPr>
              <w:t>8.274.186,76</w:t>
            </w:r>
          </w:p>
        </w:tc>
        <w:tc>
          <w:tcPr>
            <w:tcW w:w="1860" w:type="dxa"/>
            <w:tcMar>
              <w:top w:w="0" w:type="dxa"/>
              <w:bottom w:w="0" w:type="dxa"/>
            </w:tcMar>
            <w:vAlign w:val="center"/>
          </w:tcPr>
          <w:p w:rsidR="00E4472F" w:rsidRDefault="00000000">
            <w:pPr>
              <w:keepNext/>
              <w:keepLines/>
              <w:spacing w:after="0" w:line="240" w:lineRule="auto"/>
              <w:jc w:val="right"/>
            </w:pPr>
            <w:r>
              <w:rPr>
                <w:sz w:val="18"/>
              </w:rPr>
              <w:t>9.225.642,98</w:t>
            </w:r>
          </w:p>
        </w:tc>
        <w:tc>
          <w:tcPr>
            <w:tcW w:w="700" w:type="dxa"/>
            <w:tcMar>
              <w:top w:w="0" w:type="dxa"/>
              <w:bottom w:w="0" w:type="dxa"/>
            </w:tcMar>
            <w:vAlign w:val="center"/>
          </w:tcPr>
          <w:p w:rsidR="00E4472F" w:rsidRDefault="00000000">
            <w:pPr>
              <w:keepNext/>
              <w:keepLines/>
              <w:spacing w:after="0" w:line="240" w:lineRule="auto"/>
              <w:jc w:val="right"/>
            </w:pPr>
            <w:r>
              <w:rPr>
                <w:sz w:val="18"/>
              </w:rPr>
              <w:t>111,5</w:t>
            </w:r>
          </w:p>
        </w:tc>
      </w:tr>
    </w:tbl>
    <w:p w:rsidR="00E4472F" w:rsidRDefault="00E4472F">
      <w:pPr>
        <w:spacing w:after="0"/>
      </w:pPr>
    </w:p>
    <w:p w:rsidR="00E4472F" w:rsidRDefault="00000000">
      <w:r>
        <w:t xml:space="preserve">Doprinosi za obvezno zdravstveno osiguranje u 2025. godini iznose 9.225.642,98 eura, što predstavlja povećanje od 11,5 % u odnosu na 2024. godinu, kada su iznosili 8.274.186,72 </w:t>
      </w:r>
      <w:r>
        <w:lastRenderedPageBreak/>
        <w:t>eura. Povećanje navedenih doprinosa posljedica je rasta osnovice za obračun, odnosno povećanja bruto I plaća zaposlenika u izvještajnom razdoblju.</w:t>
      </w:r>
    </w:p>
    <w:p w:rsidR="00E4472F" w:rsidRDefault="00E4472F"/>
    <w:p w:rsidR="00E4472F" w:rsidRDefault="00000000">
      <w:pPr>
        <w:keepNext/>
        <w:spacing w:line="240" w:lineRule="auto"/>
        <w:jc w:val="center"/>
      </w:pPr>
      <w:r>
        <w:rPr>
          <w:sz w:val="28"/>
        </w:rPr>
        <w:t>Bilješka 41.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3133</w:t>
            </w:r>
          </w:p>
        </w:tc>
        <w:tc>
          <w:tcPr>
            <w:tcW w:w="3180" w:type="dxa"/>
            <w:tcMar>
              <w:top w:w="0" w:type="dxa"/>
              <w:bottom w:w="0" w:type="dxa"/>
            </w:tcMar>
            <w:vAlign w:val="center"/>
          </w:tcPr>
          <w:p w:rsidR="00E4472F" w:rsidRDefault="00000000">
            <w:pPr>
              <w:keepNext/>
              <w:keepLines/>
              <w:spacing w:after="0" w:line="240" w:lineRule="auto"/>
            </w:pPr>
            <w:r>
              <w:rPr>
                <w:sz w:val="18"/>
              </w:rPr>
              <w:t>Doprinosi za obvezno osiguranje u slučaju nezaposlenosti</w:t>
            </w:r>
          </w:p>
        </w:tc>
        <w:tc>
          <w:tcPr>
            <w:tcW w:w="700" w:type="dxa"/>
            <w:tcMar>
              <w:top w:w="0" w:type="dxa"/>
              <w:bottom w:w="0" w:type="dxa"/>
            </w:tcMar>
            <w:vAlign w:val="center"/>
          </w:tcPr>
          <w:p w:rsidR="00E4472F" w:rsidRDefault="00000000">
            <w:pPr>
              <w:keepNext/>
              <w:keepLines/>
              <w:spacing w:after="0" w:line="240" w:lineRule="auto"/>
            </w:pPr>
            <w:r>
              <w:rPr>
                <w:sz w:val="18"/>
              </w:rPr>
              <w:t>3133</w:t>
            </w:r>
          </w:p>
        </w:tc>
        <w:tc>
          <w:tcPr>
            <w:tcW w:w="1860" w:type="dxa"/>
            <w:tcMar>
              <w:top w:w="0" w:type="dxa"/>
              <w:bottom w:w="0" w:type="dxa"/>
            </w:tcMar>
            <w:vAlign w:val="center"/>
          </w:tcPr>
          <w:p w:rsidR="00E4472F" w:rsidRDefault="00000000">
            <w:pPr>
              <w:keepNext/>
              <w:keepLines/>
              <w:spacing w:after="0" w:line="240" w:lineRule="auto"/>
              <w:jc w:val="right"/>
            </w:pPr>
            <w:r>
              <w:rPr>
                <w:sz w:val="18"/>
              </w:rPr>
              <w:t>3.444,21</w:t>
            </w:r>
          </w:p>
        </w:tc>
        <w:tc>
          <w:tcPr>
            <w:tcW w:w="1860" w:type="dxa"/>
            <w:tcMar>
              <w:top w:w="0" w:type="dxa"/>
              <w:bottom w:w="0" w:type="dxa"/>
            </w:tcMar>
            <w:vAlign w:val="center"/>
          </w:tcPr>
          <w:p w:rsidR="00E4472F" w:rsidRDefault="00000000">
            <w:pPr>
              <w:keepNext/>
              <w:keepLines/>
              <w:spacing w:after="0" w:line="240" w:lineRule="auto"/>
              <w:jc w:val="right"/>
            </w:pPr>
            <w:r>
              <w:rPr>
                <w:sz w:val="18"/>
              </w:rPr>
              <w:t>4.629,09</w:t>
            </w:r>
          </w:p>
        </w:tc>
        <w:tc>
          <w:tcPr>
            <w:tcW w:w="700" w:type="dxa"/>
            <w:tcMar>
              <w:top w:w="0" w:type="dxa"/>
              <w:bottom w:w="0" w:type="dxa"/>
            </w:tcMar>
            <w:vAlign w:val="center"/>
          </w:tcPr>
          <w:p w:rsidR="00E4472F" w:rsidRDefault="00000000">
            <w:pPr>
              <w:keepNext/>
              <w:keepLines/>
              <w:spacing w:after="0" w:line="240" w:lineRule="auto"/>
              <w:jc w:val="right"/>
            </w:pPr>
            <w:r>
              <w:rPr>
                <w:sz w:val="18"/>
              </w:rPr>
              <w:t>134,4</w:t>
            </w:r>
          </w:p>
        </w:tc>
      </w:tr>
    </w:tbl>
    <w:p w:rsidR="00E4472F" w:rsidRDefault="00E4472F">
      <w:pPr>
        <w:spacing w:after="0"/>
      </w:pPr>
    </w:p>
    <w:p w:rsidR="00E4472F" w:rsidRDefault="00000000">
      <w:r>
        <w:t>Doprinosi za obvezno osiguranje u slučaju nezaposlenosti isplaćeni su u iznosu od 4.629,09 eura, i to temeljem pravomoćnih sudskih presuda, koje se odnose na radnike za razdoblja u kojima su se navedeni doprinosi obračunavali i uplaćivali prije njihovog ukidanja.</w:t>
      </w:r>
    </w:p>
    <w:p w:rsidR="00E4472F" w:rsidRDefault="00E4472F"/>
    <w:p w:rsidR="00E4472F" w:rsidRDefault="00000000">
      <w:pPr>
        <w:keepNext/>
        <w:spacing w:line="240" w:lineRule="auto"/>
        <w:jc w:val="center"/>
      </w:pPr>
      <w:r>
        <w:rPr>
          <w:sz w:val="28"/>
        </w:rPr>
        <w:t>Bilješka 42.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w:t>
            </w:r>
          </w:p>
        </w:tc>
        <w:tc>
          <w:tcPr>
            <w:tcW w:w="3180" w:type="dxa"/>
            <w:tcMar>
              <w:top w:w="0" w:type="dxa"/>
              <w:bottom w:w="0" w:type="dxa"/>
            </w:tcMar>
            <w:vAlign w:val="center"/>
          </w:tcPr>
          <w:p w:rsidR="00E4472F" w:rsidRDefault="00000000">
            <w:pPr>
              <w:keepNext/>
              <w:keepLines/>
              <w:spacing w:after="0" w:line="240" w:lineRule="auto"/>
            </w:pPr>
            <w:r>
              <w:rPr>
                <w:sz w:val="18"/>
              </w:rPr>
              <w:t>Materijalni rashodi (šifre 321+322+323+324+325+329)</w:t>
            </w:r>
          </w:p>
        </w:tc>
        <w:tc>
          <w:tcPr>
            <w:tcW w:w="700" w:type="dxa"/>
            <w:tcMar>
              <w:top w:w="0" w:type="dxa"/>
              <w:bottom w:w="0" w:type="dxa"/>
            </w:tcMar>
            <w:vAlign w:val="center"/>
          </w:tcPr>
          <w:p w:rsidR="00E4472F" w:rsidRDefault="00000000">
            <w:pPr>
              <w:keepNext/>
              <w:keepLines/>
              <w:spacing w:after="0" w:line="240" w:lineRule="auto"/>
            </w:pPr>
            <w:r>
              <w:rPr>
                <w:sz w:val="18"/>
              </w:rPr>
              <w:t>32</w:t>
            </w:r>
          </w:p>
        </w:tc>
        <w:tc>
          <w:tcPr>
            <w:tcW w:w="1860" w:type="dxa"/>
            <w:tcMar>
              <w:top w:w="0" w:type="dxa"/>
              <w:bottom w:w="0" w:type="dxa"/>
            </w:tcMar>
            <w:vAlign w:val="center"/>
          </w:tcPr>
          <w:p w:rsidR="00E4472F" w:rsidRDefault="00000000">
            <w:pPr>
              <w:keepNext/>
              <w:keepLines/>
              <w:spacing w:after="0" w:line="240" w:lineRule="auto"/>
              <w:jc w:val="right"/>
            </w:pPr>
            <w:r>
              <w:rPr>
                <w:sz w:val="18"/>
              </w:rPr>
              <w:t>36.785.415,80</w:t>
            </w:r>
          </w:p>
        </w:tc>
        <w:tc>
          <w:tcPr>
            <w:tcW w:w="1860" w:type="dxa"/>
            <w:tcMar>
              <w:top w:w="0" w:type="dxa"/>
              <w:bottom w:w="0" w:type="dxa"/>
            </w:tcMar>
            <w:vAlign w:val="center"/>
          </w:tcPr>
          <w:p w:rsidR="00E4472F" w:rsidRDefault="00000000">
            <w:pPr>
              <w:keepNext/>
              <w:keepLines/>
              <w:spacing w:after="0" w:line="240" w:lineRule="auto"/>
              <w:jc w:val="right"/>
            </w:pPr>
            <w:r>
              <w:rPr>
                <w:sz w:val="18"/>
              </w:rPr>
              <w:t>41.466.684,41</w:t>
            </w:r>
          </w:p>
        </w:tc>
        <w:tc>
          <w:tcPr>
            <w:tcW w:w="700" w:type="dxa"/>
            <w:tcMar>
              <w:top w:w="0" w:type="dxa"/>
              <w:bottom w:w="0" w:type="dxa"/>
            </w:tcMar>
            <w:vAlign w:val="center"/>
          </w:tcPr>
          <w:p w:rsidR="00E4472F" w:rsidRDefault="00000000">
            <w:pPr>
              <w:keepNext/>
              <w:keepLines/>
              <w:spacing w:after="0" w:line="240" w:lineRule="auto"/>
              <w:jc w:val="right"/>
            </w:pPr>
            <w:r>
              <w:rPr>
                <w:sz w:val="18"/>
              </w:rPr>
              <w:t>112,7</w:t>
            </w:r>
          </w:p>
        </w:tc>
      </w:tr>
    </w:tbl>
    <w:p w:rsidR="00E4472F" w:rsidRDefault="00E4472F">
      <w:pPr>
        <w:spacing w:after="0"/>
      </w:pPr>
    </w:p>
    <w:p w:rsidR="00E4472F" w:rsidRDefault="00000000">
      <w:pPr>
        <w:jc w:val="both"/>
      </w:pPr>
      <w:r>
        <w:t>Materijalni rashodi u 2025. godini iznose 41.466.684,11 eura te su veći za 12,7 %, odnosno 4.681.268,61 eura, u odnosu na 2024. godinu. Povećanje materijalnih rashoda ponajprije se odnosi na rast rashoda za lijekove te potrošni i ugradbeni medicinski materijal, što je posljedica porasta cijena uslijed inflacijskih kretanja, ali i povećanog obujma potrošnje uzrokovanog rastom broja epizoda liječenja u 2025. godini za više od 46.000 slučajeva. Osim navedenog, zabilježen je i značajan rast rashoda za tekuće i investicijsko održavanje te rashoda vezanih uz komunalne naknade i energiju.</w:t>
      </w:r>
    </w:p>
    <w:p w:rsidR="00E4472F" w:rsidRDefault="00E4472F"/>
    <w:p w:rsidR="00E4472F" w:rsidRDefault="00000000">
      <w:pPr>
        <w:keepNext/>
        <w:spacing w:line="240" w:lineRule="auto"/>
        <w:jc w:val="center"/>
      </w:pPr>
      <w:r>
        <w:rPr>
          <w:sz w:val="28"/>
        </w:rPr>
        <w:t>Bilješka 43.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321</w:t>
            </w:r>
          </w:p>
        </w:tc>
        <w:tc>
          <w:tcPr>
            <w:tcW w:w="3180" w:type="dxa"/>
            <w:tcMar>
              <w:top w:w="0" w:type="dxa"/>
              <w:bottom w:w="0" w:type="dxa"/>
            </w:tcMar>
            <w:vAlign w:val="center"/>
          </w:tcPr>
          <w:p w:rsidR="00E4472F" w:rsidRDefault="00000000">
            <w:pPr>
              <w:keepNext/>
              <w:keepLines/>
              <w:spacing w:after="0" w:line="240" w:lineRule="auto"/>
            </w:pPr>
            <w:r>
              <w:rPr>
                <w:sz w:val="18"/>
              </w:rPr>
              <w:t>Naknade troškova zaposlenima (šifre 3211 do 3214)</w:t>
            </w:r>
          </w:p>
        </w:tc>
        <w:tc>
          <w:tcPr>
            <w:tcW w:w="700" w:type="dxa"/>
            <w:tcMar>
              <w:top w:w="0" w:type="dxa"/>
              <w:bottom w:w="0" w:type="dxa"/>
            </w:tcMar>
            <w:vAlign w:val="center"/>
          </w:tcPr>
          <w:p w:rsidR="00E4472F" w:rsidRDefault="00000000">
            <w:pPr>
              <w:keepNext/>
              <w:keepLines/>
              <w:spacing w:after="0" w:line="240" w:lineRule="auto"/>
            </w:pPr>
            <w:r>
              <w:rPr>
                <w:sz w:val="18"/>
              </w:rPr>
              <w:t>321</w:t>
            </w:r>
          </w:p>
        </w:tc>
        <w:tc>
          <w:tcPr>
            <w:tcW w:w="1860" w:type="dxa"/>
            <w:tcMar>
              <w:top w:w="0" w:type="dxa"/>
              <w:bottom w:w="0" w:type="dxa"/>
            </w:tcMar>
            <w:vAlign w:val="center"/>
          </w:tcPr>
          <w:p w:rsidR="00E4472F" w:rsidRDefault="00000000">
            <w:pPr>
              <w:keepNext/>
              <w:keepLines/>
              <w:spacing w:after="0" w:line="240" w:lineRule="auto"/>
              <w:jc w:val="right"/>
            </w:pPr>
            <w:r>
              <w:rPr>
                <w:sz w:val="18"/>
              </w:rPr>
              <w:t>1.669.223,31</w:t>
            </w:r>
          </w:p>
        </w:tc>
        <w:tc>
          <w:tcPr>
            <w:tcW w:w="1860" w:type="dxa"/>
            <w:tcMar>
              <w:top w:w="0" w:type="dxa"/>
              <w:bottom w:w="0" w:type="dxa"/>
            </w:tcMar>
            <w:vAlign w:val="center"/>
          </w:tcPr>
          <w:p w:rsidR="00E4472F" w:rsidRDefault="00000000">
            <w:pPr>
              <w:keepNext/>
              <w:keepLines/>
              <w:spacing w:after="0" w:line="240" w:lineRule="auto"/>
              <w:jc w:val="right"/>
            </w:pPr>
            <w:r>
              <w:rPr>
                <w:sz w:val="18"/>
              </w:rPr>
              <w:t>1.772.265,22</w:t>
            </w:r>
          </w:p>
        </w:tc>
        <w:tc>
          <w:tcPr>
            <w:tcW w:w="700" w:type="dxa"/>
            <w:tcMar>
              <w:top w:w="0" w:type="dxa"/>
              <w:bottom w:w="0" w:type="dxa"/>
            </w:tcMar>
            <w:vAlign w:val="center"/>
          </w:tcPr>
          <w:p w:rsidR="00E4472F" w:rsidRDefault="00000000">
            <w:pPr>
              <w:keepNext/>
              <w:keepLines/>
              <w:spacing w:after="0" w:line="240" w:lineRule="auto"/>
              <w:jc w:val="right"/>
            </w:pPr>
            <w:r>
              <w:rPr>
                <w:sz w:val="18"/>
              </w:rPr>
              <w:t>106,2</w:t>
            </w:r>
          </w:p>
        </w:tc>
      </w:tr>
    </w:tbl>
    <w:p w:rsidR="00E4472F" w:rsidRDefault="00E4472F">
      <w:pPr>
        <w:spacing w:after="0"/>
      </w:pPr>
    </w:p>
    <w:p w:rsidR="00E4472F" w:rsidRDefault="00000000">
      <w:pPr>
        <w:jc w:val="both"/>
      </w:pPr>
      <w:r>
        <w:t>Naknade troškova zaposlenima u 2025. godini iznosile su 1.772.265,22 eura te su u odnosu na 2024. godinu povećane za 6,2 %. Od ukupno ostvarenih naknada, najveći dio odnosi se na naknade za prijevoz, za rad na terenu i odvojeni život u iznosu od 1.638.979,31 eura. Preostali rashodi odnose se na financiranje dijela troškova školarine u iznosu od 82.536,14 eura, rashode službenih putovanja u iznosu od 16.459,52 eura, kotizacije za seminare i simpozije u iznosu od 22.932,06 eura te rashode za tečajeve i stručne ispite u iznosu od 10.488,19 eura.</w:t>
      </w:r>
    </w:p>
    <w:p w:rsidR="00E4472F" w:rsidRDefault="00E4472F"/>
    <w:p w:rsidR="00E4472F" w:rsidRDefault="00000000">
      <w:pPr>
        <w:keepNext/>
        <w:spacing w:line="240" w:lineRule="auto"/>
        <w:jc w:val="center"/>
      </w:pPr>
      <w:r>
        <w:rPr>
          <w:sz w:val="28"/>
        </w:rPr>
        <w:t>Bilješka 44.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3211</w:t>
            </w:r>
          </w:p>
        </w:tc>
        <w:tc>
          <w:tcPr>
            <w:tcW w:w="3180" w:type="dxa"/>
            <w:tcMar>
              <w:top w:w="0" w:type="dxa"/>
              <w:bottom w:w="0" w:type="dxa"/>
            </w:tcMar>
            <w:vAlign w:val="center"/>
          </w:tcPr>
          <w:p w:rsidR="00E4472F" w:rsidRDefault="00000000">
            <w:pPr>
              <w:keepNext/>
              <w:keepLines/>
              <w:spacing w:after="0" w:line="240" w:lineRule="auto"/>
            </w:pPr>
            <w:r>
              <w:rPr>
                <w:sz w:val="18"/>
              </w:rPr>
              <w:t>Službena putovanja</w:t>
            </w:r>
          </w:p>
        </w:tc>
        <w:tc>
          <w:tcPr>
            <w:tcW w:w="700" w:type="dxa"/>
            <w:tcMar>
              <w:top w:w="0" w:type="dxa"/>
              <w:bottom w:w="0" w:type="dxa"/>
            </w:tcMar>
            <w:vAlign w:val="center"/>
          </w:tcPr>
          <w:p w:rsidR="00E4472F" w:rsidRDefault="00000000">
            <w:pPr>
              <w:keepNext/>
              <w:keepLines/>
              <w:spacing w:after="0" w:line="240" w:lineRule="auto"/>
            </w:pPr>
            <w:r>
              <w:rPr>
                <w:sz w:val="18"/>
              </w:rPr>
              <w:t>3211</w:t>
            </w:r>
          </w:p>
        </w:tc>
        <w:tc>
          <w:tcPr>
            <w:tcW w:w="1860" w:type="dxa"/>
            <w:tcMar>
              <w:top w:w="0" w:type="dxa"/>
              <w:bottom w:w="0" w:type="dxa"/>
            </w:tcMar>
            <w:vAlign w:val="center"/>
          </w:tcPr>
          <w:p w:rsidR="00E4472F" w:rsidRDefault="00000000">
            <w:pPr>
              <w:keepNext/>
              <w:keepLines/>
              <w:spacing w:after="0" w:line="240" w:lineRule="auto"/>
              <w:jc w:val="right"/>
            </w:pPr>
            <w:r>
              <w:rPr>
                <w:sz w:val="18"/>
              </w:rPr>
              <w:t>11.117,32</w:t>
            </w:r>
          </w:p>
        </w:tc>
        <w:tc>
          <w:tcPr>
            <w:tcW w:w="1860" w:type="dxa"/>
            <w:tcMar>
              <w:top w:w="0" w:type="dxa"/>
              <w:bottom w:w="0" w:type="dxa"/>
            </w:tcMar>
            <w:vAlign w:val="center"/>
          </w:tcPr>
          <w:p w:rsidR="00E4472F" w:rsidRDefault="00000000">
            <w:pPr>
              <w:keepNext/>
              <w:keepLines/>
              <w:spacing w:after="0" w:line="240" w:lineRule="auto"/>
              <w:jc w:val="right"/>
            </w:pPr>
            <w:r>
              <w:rPr>
                <w:sz w:val="18"/>
              </w:rPr>
              <w:t>16.459,52</w:t>
            </w:r>
          </w:p>
        </w:tc>
        <w:tc>
          <w:tcPr>
            <w:tcW w:w="700" w:type="dxa"/>
            <w:tcMar>
              <w:top w:w="0" w:type="dxa"/>
              <w:bottom w:w="0" w:type="dxa"/>
            </w:tcMar>
            <w:vAlign w:val="center"/>
          </w:tcPr>
          <w:p w:rsidR="00E4472F" w:rsidRDefault="00000000">
            <w:pPr>
              <w:keepNext/>
              <w:keepLines/>
              <w:spacing w:after="0" w:line="240" w:lineRule="auto"/>
              <w:jc w:val="right"/>
            </w:pPr>
            <w:r>
              <w:rPr>
                <w:sz w:val="18"/>
              </w:rPr>
              <w:t>148,1</w:t>
            </w:r>
          </w:p>
        </w:tc>
      </w:tr>
    </w:tbl>
    <w:p w:rsidR="00E4472F" w:rsidRDefault="00E4472F">
      <w:pPr>
        <w:spacing w:after="0"/>
      </w:pPr>
    </w:p>
    <w:p w:rsidR="00E4472F" w:rsidRDefault="00000000">
      <w:r>
        <w:t>Rashodi za službena putovanja u 2025. godini iznose 16.459,52 eura, što predstavlja povećanje od 48,1 % u odnosu na 2024. godinu, kada su iznosili 11.117,32 EUR. Povećanje navedenih rashoda povezano je s većim brojem službenih putovanja zaposlenika, prvenstveno u svrhu stručnog usavršavanja, edukacija i obavljanja poslova vezanih uz redovnu djelatnost Bolnice.</w:t>
      </w:r>
    </w:p>
    <w:p w:rsidR="00E4472F" w:rsidRDefault="00E4472F"/>
    <w:p w:rsidR="00E4472F" w:rsidRDefault="00000000">
      <w:pPr>
        <w:keepNext/>
        <w:spacing w:line="240" w:lineRule="auto"/>
        <w:jc w:val="center"/>
      </w:pPr>
      <w:r>
        <w:rPr>
          <w:sz w:val="28"/>
        </w:rPr>
        <w:t>Bilješka 45.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3212</w:t>
            </w:r>
          </w:p>
        </w:tc>
        <w:tc>
          <w:tcPr>
            <w:tcW w:w="3180" w:type="dxa"/>
            <w:tcMar>
              <w:top w:w="0" w:type="dxa"/>
              <w:bottom w:w="0" w:type="dxa"/>
            </w:tcMar>
            <w:vAlign w:val="center"/>
          </w:tcPr>
          <w:p w:rsidR="00E4472F" w:rsidRDefault="00000000">
            <w:pPr>
              <w:keepNext/>
              <w:keepLines/>
              <w:spacing w:after="0" w:line="240" w:lineRule="auto"/>
            </w:pPr>
            <w:r>
              <w:rPr>
                <w:sz w:val="18"/>
              </w:rPr>
              <w:t>Naknade za prijevoz, za rad na terenu i odvojeni život</w:t>
            </w:r>
          </w:p>
        </w:tc>
        <w:tc>
          <w:tcPr>
            <w:tcW w:w="700" w:type="dxa"/>
            <w:tcMar>
              <w:top w:w="0" w:type="dxa"/>
              <w:bottom w:w="0" w:type="dxa"/>
            </w:tcMar>
            <w:vAlign w:val="center"/>
          </w:tcPr>
          <w:p w:rsidR="00E4472F" w:rsidRDefault="00000000">
            <w:pPr>
              <w:keepNext/>
              <w:keepLines/>
              <w:spacing w:after="0" w:line="240" w:lineRule="auto"/>
            </w:pPr>
            <w:r>
              <w:rPr>
                <w:sz w:val="18"/>
              </w:rPr>
              <w:t>3212</w:t>
            </w:r>
          </w:p>
        </w:tc>
        <w:tc>
          <w:tcPr>
            <w:tcW w:w="1860" w:type="dxa"/>
            <w:tcMar>
              <w:top w:w="0" w:type="dxa"/>
              <w:bottom w:w="0" w:type="dxa"/>
            </w:tcMar>
            <w:vAlign w:val="center"/>
          </w:tcPr>
          <w:p w:rsidR="00E4472F" w:rsidRDefault="00000000">
            <w:pPr>
              <w:keepNext/>
              <w:keepLines/>
              <w:spacing w:after="0" w:line="240" w:lineRule="auto"/>
              <w:jc w:val="right"/>
            </w:pPr>
            <w:r>
              <w:rPr>
                <w:sz w:val="18"/>
              </w:rPr>
              <w:t>1.615.097,54</w:t>
            </w:r>
          </w:p>
        </w:tc>
        <w:tc>
          <w:tcPr>
            <w:tcW w:w="1860" w:type="dxa"/>
            <w:tcMar>
              <w:top w:w="0" w:type="dxa"/>
              <w:bottom w:w="0" w:type="dxa"/>
            </w:tcMar>
            <w:vAlign w:val="center"/>
          </w:tcPr>
          <w:p w:rsidR="00E4472F" w:rsidRDefault="00000000">
            <w:pPr>
              <w:keepNext/>
              <w:keepLines/>
              <w:spacing w:after="0" w:line="240" w:lineRule="auto"/>
              <w:jc w:val="right"/>
            </w:pPr>
            <w:r>
              <w:rPr>
                <w:sz w:val="18"/>
              </w:rPr>
              <w:t>1.638.979,31</w:t>
            </w:r>
          </w:p>
        </w:tc>
        <w:tc>
          <w:tcPr>
            <w:tcW w:w="700" w:type="dxa"/>
            <w:tcMar>
              <w:top w:w="0" w:type="dxa"/>
              <w:bottom w:w="0" w:type="dxa"/>
            </w:tcMar>
            <w:vAlign w:val="center"/>
          </w:tcPr>
          <w:p w:rsidR="00E4472F" w:rsidRDefault="00000000">
            <w:pPr>
              <w:keepNext/>
              <w:keepLines/>
              <w:spacing w:after="0" w:line="240" w:lineRule="auto"/>
              <w:jc w:val="right"/>
            </w:pPr>
            <w:r>
              <w:rPr>
                <w:sz w:val="18"/>
              </w:rPr>
              <w:t>101,5</w:t>
            </w:r>
          </w:p>
        </w:tc>
      </w:tr>
    </w:tbl>
    <w:p w:rsidR="00E4472F" w:rsidRDefault="00E4472F">
      <w:pPr>
        <w:spacing w:after="0"/>
      </w:pPr>
    </w:p>
    <w:p w:rsidR="00E4472F" w:rsidRDefault="00000000">
      <w:pPr>
        <w:jc w:val="both"/>
      </w:pPr>
      <w:r>
        <w:t>Naknade za prijevoz za prijevoz, za rad na terenu i odvojeni život u 2025. iznose 1.638.979,31 eura i veća su za 1,5% u odnosu n 2024. kada su iznosile 1.615.097,54 eura. Iako je naknada za prijevoz po prijeđenom kilometru u 2025. godini smanjena u odnosu na prethodnu godinu, ukupni rashodi za prijevoz rasli su prvenstveno zbog povećanog broja zaposlenika odnosno većeg broja dolazaka na posao, kao i povećanog obujma zdravstvene djelatnosti.</w:t>
      </w:r>
    </w:p>
    <w:p w:rsidR="00E4472F" w:rsidRDefault="00E4472F"/>
    <w:p w:rsidR="00E4472F" w:rsidRDefault="00000000">
      <w:pPr>
        <w:keepNext/>
        <w:spacing w:line="240" w:lineRule="auto"/>
        <w:jc w:val="center"/>
      </w:pPr>
      <w:r>
        <w:rPr>
          <w:sz w:val="28"/>
        </w:rPr>
        <w:t>Bilješka 46.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3213</w:t>
            </w:r>
          </w:p>
        </w:tc>
        <w:tc>
          <w:tcPr>
            <w:tcW w:w="3180" w:type="dxa"/>
            <w:tcMar>
              <w:top w:w="0" w:type="dxa"/>
              <w:bottom w:w="0" w:type="dxa"/>
            </w:tcMar>
            <w:vAlign w:val="center"/>
          </w:tcPr>
          <w:p w:rsidR="00E4472F" w:rsidRDefault="00000000">
            <w:pPr>
              <w:keepNext/>
              <w:keepLines/>
              <w:spacing w:after="0" w:line="240" w:lineRule="auto"/>
            </w:pPr>
            <w:r>
              <w:rPr>
                <w:sz w:val="18"/>
              </w:rPr>
              <w:t>Stručno usavršavanje zaposlenika</w:t>
            </w:r>
          </w:p>
        </w:tc>
        <w:tc>
          <w:tcPr>
            <w:tcW w:w="700" w:type="dxa"/>
            <w:tcMar>
              <w:top w:w="0" w:type="dxa"/>
              <w:bottom w:w="0" w:type="dxa"/>
            </w:tcMar>
            <w:vAlign w:val="center"/>
          </w:tcPr>
          <w:p w:rsidR="00E4472F" w:rsidRDefault="00000000">
            <w:pPr>
              <w:keepNext/>
              <w:keepLines/>
              <w:spacing w:after="0" w:line="240" w:lineRule="auto"/>
            </w:pPr>
            <w:r>
              <w:rPr>
                <w:sz w:val="18"/>
              </w:rPr>
              <w:t>3213</w:t>
            </w:r>
          </w:p>
        </w:tc>
        <w:tc>
          <w:tcPr>
            <w:tcW w:w="1860" w:type="dxa"/>
            <w:tcMar>
              <w:top w:w="0" w:type="dxa"/>
              <w:bottom w:w="0" w:type="dxa"/>
            </w:tcMar>
            <w:vAlign w:val="center"/>
          </w:tcPr>
          <w:p w:rsidR="00E4472F" w:rsidRDefault="00000000">
            <w:pPr>
              <w:keepNext/>
              <w:keepLines/>
              <w:spacing w:after="0" w:line="240" w:lineRule="auto"/>
              <w:jc w:val="right"/>
            </w:pPr>
            <w:r>
              <w:rPr>
                <w:sz w:val="18"/>
              </w:rPr>
              <w:t>42.626,45</w:t>
            </w:r>
          </w:p>
        </w:tc>
        <w:tc>
          <w:tcPr>
            <w:tcW w:w="1860" w:type="dxa"/>
            <w:tcMar>
              <w:top w:w="0" w:type="dxa"/>
              <w:bottom w:w="0" w:type="dxa"/>
            </w:tcMar>
            <w:vAlign w:val="center"/>
          </w:tcPr>
          <w:p w:rsidR="00E4472F" w:rsidRDefault="00000000">
            <w:pPr>
              <w:keepNext/>
              <w:keepLines/>
              <w:spacing w:after="0" w:line="240" w:lineRule="auto"/>
              <w:jc w:val="right"/>
            </w:pPr>
            <w:r>
              <w:rPr>
                <w:sz w:val="18"/>
              </w:rPr>
              <w:t>115.956,39</w:t>
            </w:r>
          </w:p>
        </w:tc>
        <w:tc>
          <w:tcPr>
            <w:tcW w:w="700" w:type="dxa"/>
            <w:tcMar>
              <w:top w:w="0" w:type="dxa"/>
              <w:bottom w:w="0" w:type="dxa"/>
            </w:tcMar>
            <w:vAlign w:val="center"/>
          </w:tcPr>
          <w:p w:rsidR="00E4472F" w:rsidRDefault="00000000">
            <w:pPr>
              <w:keepNext/>
              <w:keepLines/>
              <w:spacing w:after="0" w:line="240" w:lineRule="auto"/>
              <w:jc w:val="right"/>
            </w:pPr>
            <w:r>
              <w:rPr>
                <w:sz w:val="18"/>
              </w:rPr>
              <w:t>272,0</w:t>
            </w:r>
          </w:p>
        </w:tc>
      </w:tr>
    </w:tbl>
    <w:p w:rsidR="00E4472F" w:rsidRDefault="00E4472F">
      <w:pPr>
        <w:spacing w:after="0"/>
      </w:pPr>
    </w:p>
    <w:p w:rsidR="00E4472F" w:rsidRDefault="00000000">
      <w:pPr>
        <w:jc w:val="both"/>
      </w:pPr>
      <w:r>
        <w:t>Rashodi za stručno usavršavanje zaposlenih u 2025. godini iznose 115.956,39 eura te su u odnosu na 2024. godinu, kada su iznosili 42.626,45 eura, povećani za 172 %. Najznačajniji dio navedenih rashoda odnosi se na troškove specijalizacija i financiranje dijela školarina u iznosu od 82.536,14 eura, zatim na kotizacije za seminare, kongrese i simpozije u iznosu od 22.932,06 eura, kao i na rashode za tečajeve i stručne ispite u iznosu od 10.488,19 eura.</w:t>
      </w:r>
    </w:p>
    <w:p w:rsidR="00E4472F" w:rsidRDefault="00E4472F"/>
    <w:p w:rsidR="00E4472F" w:rsidRDefault="00000000">
      <w:pPr>
        <w:keepNext/>
        <w:spacing w:line="240" w:lineRule="auto"/>
        <w:jc w:val="center"/>
      </w:pPr>
      <w:r>
        <w:rPr>
          <w:sz w:val="28"/>
        </w:rPr>
        <w:lastRenderedPageBreak/>
        <w:t>Bilješka 47.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3214</w:t>
            </w:r>
          </w:p>
        </w:tc>
        <w:tc>
          <w:tcPr>
            <w:tcW w:w="3180" w:type="dxa"/>
            <w:tcMar>
              <w:top w:w="0" w:type="dxa"/>
              <w:bottom w:w="0" w:type="dxa"/>
            </w:tcMar>
            <w:vAlign w:val="center"/>
          </w:tcPr>
          <w:p w:rsidR="00E4472F" w:rsidRDefault="00000000">
            <w:pPr>
              <w:keepNext/>
              <w:keepLines/>
              <w:spacing w:after="0" w:line="240" w:lineRule="auto"/>
            </w:pPr>
            <w:r>
              <w:rPr>
                <w:sz w:val="18"/>
              </w:rPr>
              <w:t>Ostale naknade troškova zaposlenima</w:t>
            </w:r>
          </w:p>
        </w:tc>
        <w:tc>
          <w:tcPr>
            <w:tcW w:w="700" w:type="dxa"/>
            <w:tcMar>
              <w:top w:w="0" w:type="dxa"/>
              <w:bottom w:w="0" w:type="dxa"/>
            </w:tcMar>
            <w:vAlign w:val="center"/>
          </w:tcPr>
          <w:p w:rsidR="00E4472F" w:rsidRDefault="00000000">
            <w:pPr>
              <w:keepNext/>
              <w:keepLines/>
              <w:spacing w:after="0" w:line="240" w:lineRule="auto"/>
            </w:pPr>
            <w:r>
              <w:rPr>
                <w:sz w:val="18"/>
              </w:rPr>
              <w:t>3214</w:t>
            </w:r>
          </w:p>
        </w:tc>
        <w:tc>
          <w:tcPr>
            <w:tcW w:w="1860" w:type="dxa"/>
            <w:tcMar>
              <w:top w:w="0" w:type="dxa"/>
              <w:bottom w:w="0" w:type="dxa"/>
            </w:tcMar>
            <w:vAlign w:val="center"/>
          </w:tcPr>
          <w:p w:rsidR="00E4472F" w:rsidRDefault="00000000">
            <w:pPr>
              <w:keepNext/>
              <w:keepLines/>
              <w:spacing w:after="0" w:line="240" w:lineRule="auto"/>
              <w:jc w:val="right"/>
            </w:pPr>
            <w:r>
              <w:rPr>
                <w:sz w:val="18"/>
              </w:rPr>
              <w:t>382,00</w:t>
            </w:r>
          </w:p>
        </w:tc>
        <w:tc>
          <w:tcPr>
            <w:tcW w:w="1860" w:type="dxa"/>
            <w:tcMar>
              <w:top w:w="0" w:type="dxa"/>
              <w:bottom w:w="0" w:type="dxa"/>
            </w:tcMar>
            <w:vAlign w:val="center"/>
          </w:tcPr>
          <w:p w:rsidR="00E4472F" w:rsidRDefault="00000000">
            <w:pPr>
              <w:keepNext/>
              <w:keepLines/>
              <w:spacing w:after="0" w:line="240" w:lineRule="auto"/>
              <w:jc w:val="right"/>
            </w:pPr>
            <w:r>
              <w:rPr>
                <w:sz w:val="18"/>
              </w:rPr>
              <w:t>870,00</w:t>
            </w:r>
          </w:p>
        </w:tc>
        <w:tc>
          <w:tcPr>
            <w:tcW w:w="700" w:type="dxa"/>
            <w:tcMar>
              <w:top w:w="0" w:type="dxa"/>
              <w:bottom w:w="0" w:type="dxa"/>
            </w:tcMar>
            <w:vAlign w:val="center"/>
          </w:tcPr>
          <w:p w:rsidR="00E4472F" w:rsidRDefault="00000000">
            <w:pPr>
              <w:keepNext/>
              <w:keepLines/>
              <w:spacing w:after="0" w:line="240" w:lineRule="auto"/>
              <w:jc w:val="right"/>
            </w:pPr>
            <w:r>
              <w:rPr>
                <w:sz w:val="18"/>
              </w:rPr>
              <w:t>227,7</w:t>
            </w:r>
          </w:p>
        </w:tc>
      </w:tr>
    </w:tbl>
    <w:p w:rsidR="00E4472F" w:rsidRDefault="00E4472F">
      <w:pPr>
        <w:spacing w:after="0"/>
      </w:pPr>
    </w:p>
    <w:p w:rsidR="00E4472F" w:rsidRDefault="00000000">
      <w:pPr>
        <w:jc w:val="both"/>
      </w:pPr>
      <w:r>
        <w:t>Ostale naknade troškova zaposlenima u 2025. godini iznosile su 870,00 eura te su u odnosu na 2024. godinu, kada su iznosile 382,00 eura, povećane za 127,7 %. Navedeni rashodi odnose se na naknade za korištenje privatnog automobila u službene svrhe.</w:t>
      </w:r>
    </w:p>
    <w:p w:rsidR="00E4472F" w:rsidRDefault="00E4472F"/>
    <w:p w:rsidR="00E4472F" w:rsidRDefault="00000000">
      <w:pPr>
        <w:keepNext/>
        <w:spacing w:line="240" w:lineRule="auto"/>
        <w:jc w:val="center"/>
      </w:pPr>
      <w:r>
        <w:rPr>
          <w:sz w:val="28"/>
        </w:rPr>
        <w:t>Bilješka 48.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322</w:t>
            </w:r>
          </w:p>
        </w:tc>
        <w:tc>
          <w:tcPr>
            <w:tcW w:w="3180" w:type="dxa"/>
            <w:tcMar>
              <w:top w:w="0" w:type="dxa"/>
              <w:bottom w:w="0" w:type="dxa"/>
            </w:tcMar>
            <w:vAlign w:val="center"/>
          </w:tcPr>
          <w:p w:rsidR="00E4472F" w:rsidRDefault="00000000">
            <w:pPr>
              <w:keepNext/>
              <w:keepLines/>
              <w:spacing w:after="0" w:line="240" w:lineRule="auto"/>
            </w:pPr>
            <w:r>
              <w:rPr>
                <w:sz w:val="18"/>
              </w:rPr>
              <w:t>Rashodi za materijal i energiju (šifre 3221 do 3227)</w:t>
            </w:r>
          </w:p>
        </w:tc>
        <w:tc>
          <w:tcPr>
            <w:tcW w:w="700" w:type="dxa"/>
            <w:tcMar>
              <w:top w:w="0" w:type="dxa"/>
              <w:bottom w:w="0" w:type="dxa"/>
            </w:tcMar>
            <w:vAlign w:val="center"/>
          </w:tcPr>
          <w:p w:rsidR="00E4472F" w:rsidRDefault="00000000">
            <w:pPr>
              <w:keepNext/>
              <w:keepLines/>
              <w:spacing w:after="0" w:line="240" w:lineRule="auto"/>
            </w:pPr>
            <w:r>
              <w:rPr>
                <w:sz w:val="18"/>
              </w:rPr>
              <w:t>322</w:t>
            </w:r>
          </w:p>
        </w:tc>
        <w:tc>
          <w:tcPr>
            <w:tcW w:w="1860" w:type="dxa"/>
            <w:tcMar>
              <w:top w:w="0" w:type="dxa"/>
              <w:bottom w:w="0" w:type="dxa"/>
            </w:tcMar>
            <w:vAlign w:val="center"/>
          </w:tcPr>
          <w:p w:rsidR="00E4472F" w:rsidRDefault="00000000">
            <w:pPr>
              <w:keepNext/>
              <w:keepLines/>
              <w:spacing w:after="0" w:line="240" w:lineRule="auto"/>
              <w:jc w:val="right"/>
            </w:pPr>
            <w:r>
              <w:rPr>
                <w:sz w:val="18"/>
              </w:rPr>
              <w:t>28.895.529,89</w:t>
            </w:r>
          </w:p>
        </w:tc>
        <w:tc>
          <w:tcPr>
            <w:tcW w:w="1860" w:type="dxa"/>
            <w:tcMar>
              <w:top w:w="0" w:type="dxa"/>
              <w:bottom w:w="0" w:type="dxa"/>
            </w:tcMar>
            <w:vAlign w:val="center"/>
          </w:tcPr>
          <w:p w:rsidR="00E4472F" w:rsidRDefault="00000000">
            <w:pPr>
              <w:keepNext/>
              <w:keepLines/>
              <w:spacing w:after="0" w:line="240" w:lineRule="auto"/>
              <w:jc w:val="right"/>
            </w:pPr>
            <w:r>
              <w:rPr>
                <w:sz w:val="18"/>
              </w:rPr>
              <w:t>3.007.242,95</w:t>
            </w:r>
          </w:p>
        </w:tc>
        <w:tc>
          <w:tcPr>
            <w:tcW w:w="700" w:type="dxa"/>
            <w:tcMar>
              <w:top w:w="0" w:type="dxa"/>
              <w:bottom w:w="0" w:type="dxa"/>
            </w:tcMar>
            <w:vAlign w:val="center"/>
          </w:tcPr>
          <w:p w:rsidR="00E4472F" w:rsidRDefault="00000000">
            <w:pPr>
              <w:keepNext/>
              <w:keepLines/>
              <w:spacing w:after="0" w:line="240" w:lineRule="auto"/>
              <w:jc w:val="right"/>
            </w:pPr>
            <w:r>
              <w:rPr>
                <w:sz w:val="18"/>
              </w:rPr>
              <w:t>10,4</w:t>
            </w:r>
          </w:p>
        </w:tc>
      </w:tr>
    </w:tbl>
    <w:p w:rsidR="00E4472F" w:rsidRDefault="00E4472F">
      <w:pPr>
        <w:spacing w:after="0"/>
      </w:pPr>
    </w:p>
    <w:p w:rsidR="00E4472F" w:rsidRDefault="00000000">
      <w:pPr>
        <w:jc w:val="both"/>
      </w:pPr>
      <w:r>
        <w:t>Rashodi za materijal i energiju u 2025. godini iznosili su 3.007.242,95 eura, dok su u 2024. godini iznosili 28.895.529,89 eura. Značajna razlika u visini navedenih rashoda posljedica je promjene načina evidentiranja, odnosno izdvajanja rashoda za lijekove i potrošni medicinski materijal s konta 3222 Materijal i sirovine te njihovog evidentiranja na kontu 325 Rashodi lijekova i potrošnog medicinskog materijala kod zdravstvenih ustanova, sukladno izmjenama Pravilnika o proračunskom računovodstvu i računovodstvenom planu.</w:t>
      </w:r>
    </w:p>
    <w:p w:rsidR="00E4472F" w:rsidRDefault="00E4472F"/>
    <w:p w:rsidR="00E4472F" w:rsidRDefault="00000000">
      <w:pPr>
        <w:keepNext/>
        <w:spacing w:line="240" w:lineRule="auto"/>
        <w:jc w:val="center"/>
      </w:pPr>
      <w:r>
        <w:rPr>
          <w:sz w:val="28"/>
        </w:rPr>
        <w:t>Bilješka 49.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3221</w:t>
            </w:r>
          </w:p>
        </w:tc>
        <w:tc>
          <w:tcPr>
            <w:tcW w:w="3180" w:type="dxa"/>
            <w:tcMar>
              <w:top w:w="0" w:type="dxa"/>
              <w:bottom w:w="0" w:type="dxa"/>
            </w:tcMar>
            <w:vAlign w:val="center"/>
          </w:tcPr>
          <w:p w:rsidR="00E4472F" w:rsidRDefault="00000000">
            <w:pPr>
              <w:keepNext/>
              <w:keepLines/>
              <w:spacing w:after="0" w:line="240" w:lineRule="auto"/>
            </w:pPr>
            <w:r>
              <w:rPr>
                <w:sz w:val="18"/>
              </w:rPr>
              <w:t>Uredski materijal i ostali materijalni rashodi</w:t>
            </w:r>
          </w:p>
        </w:tc>
        <w:tc>
          <w:tcPr>
            <w:tcW w:w="700" w:type="dxa"/>
            <w:tcMar>
              <w:top w:w="0" w:type="dxa"/>
              <w:bottom w:w="0" w:type="dxa"/>
            </w:tcMar>
            <w:vAlign w:val="center"/>
          </w:tcPr>
          <w:p w:rsidR="00E4472F" w:rsidRDefault="00000000">
            <w:pPr>
              <w:keepNext/>
              <w:keepLines/>
              <w:spacing w:after="0" w:line="240" w:lineRule="auto"/>
            </w:pPr>
            <w:r>
              <w:rPr>
                <w:sz w:val="18"/>
              </w:rPr>
              <w:t>3221</w:t>
            </w:r>
          </w:p>
        </w:tc>
        <w:tc>
          <w:tcPr>
            <w:tcW w:w="1860" w:type="dxa"/>
            <w:tcMar>
              <w:top w:w="0" w:type="dxa"/>
              <w:bottom w:w="0" w:type="dxa"/>
            </w:tcMar>
            <w:vAlign w:val="center"/>
          </w:tcPr>
          <w:p w:rsidR="00E4472F" w:rsidRDefault="00000000">
            <w:pPr>
              <w:keepNext/>
              <w:keepLines/>
              <w:spacing w:after="0" w:line="240" w:lineRule="auto"/>
              <w:jc w:val="right"/>
            </w:pPr>
            <w:r>
              <w:rPr>
                <w:sz w:val="18"/>
              </w:rPr>
              <w:t>813.053,10</w:t>
            </w:r>
          </w:p>
        </w:tc>
        <w:tc>
          <w:tcPr>
            <w:tcW w:w="1860" w:type="dxa"/>
            <w:tcMar>
              <w:top w:w="0" w:type="dxa"/>
              <w:bottom w:w="0" w:type="dxa"/>
            </w:tcMar>
            <w:vAlign w:val="center"/>
          </w:tcPr>
          <w:p w:rsidR="00E4472F" w:rsidRDefault="00000000">
            <w:pPr>
              <w:keepNext/>
              <w:keepLines/>
              <w:spacing w:after="0" w:line="240" w:lineRule="auto"/>
              <w:jc w:val="right"/>
            </w:pPr>
            <w:r>
              <w:rPr>
                <w:sz w:val="18"/>
              </w:rPr>
              <w:t>749.160,97</w:t>
            </w:r>
          </w:p>
        </w:tc>
        <w:tc>
          <w:tcPr>
            <w:tcW w:w="700" w:type="dxa"/>
            <w:tcMar>
              <w:top w:w="0" w:type="dxa"/>
              <w:bottom w:w="0" w:type="dxa"/>
            </w:tcMar>
            <w:vAlign w:val="center"/>
          </w:tcPr>
          <w:p w:rsidR="00E4472F" w:rsidRDefault="00000000">
            <w:pPr>
              <w:keepNext/>
              <w:keepLines/>
              <w:spacing w:after="0" w:line="240" w:lineRule="auto"/>
              <w:jc w:val="right"/>
            </w:pPr>
            <w:r>
              <w:rPr>
                <w:sz w:val="18"/>
              </w:rPr>
              <w:t>92,1</w:t>
            </w:r>
          </w:p>
        </w:tc>
      </w:tr>
    </w:tbl>
    <w:p w:rsidR="00E4472F" w:rsidRDefault="00E4472F">
      <w:pPr>
        <w:spacing w:after="0"/>
      </w:pPr>
    </w:p>
    <w:p w:rsidR="00E4472F" w:rsidRDefault="00000000">
      <w:pPr>
        <w:jc w:val="both"/>
      </w:pPr>
      <w:r>
        <w:t>Rashodi za uredski materijal i ostali materijalni rashodi u 2025. godini iznosili su 749.160,97 eura te su u odnosu na 2024. godinu smanjeni za 7,9 %. Najznačajniji dio navedenih rashoda odnosi se na materijal i sredstva za čišćenje i održavanje u iznosu od 312.937,74 eura, potrošni materijal vezan uz uporabu medicinskih plinova u iznosu od 116.338,19 eura, uredski materijal u iznosu od 116.389,61 eura te tehnički materijal u iznosu od 91.514,53 eura, kao i ostali materijal neophodan za obavljanje redovnog poslovanja.  </w:t>
      </w:r>
    </w:p>
    <w:p w:rsidR="00E4472F" w:rsidRDefault="00E4472F"/>
    <w:p w:rsidR="00E4472F" w:rsidRDefault="00000000">
      <w:pPr>
        <w:keepNext/>
        <w:spacing w:line="240" w:lineRule="auto"/>
        <w:jc w:val="center"/>
      </w:pPr>
      <w:r>
        <w:rPr>
          <w:sz w:val="28"/>
        </w:rPr>
        <w:lastRenderedPageBreak/>
        <w:t>Bilješka 50.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3222</w:t>
            </w:r>
          </w:p>
        </w:tc>
        <w:tc>
          <w:tcPr>
            <w:tcW w:w="3180" w:type="dxa"/>
            <w:tcMar>
              <w:top w:w="0" w:type="dxa"/>
              <w:bottom w:w="0" w:type="dxa"/>
            </w:tcMar>
            <w:vAlign w:val="center"/>
          </w:tcPr>
          <w:p w:rsidR="00E4472F" w:rsidRDefault="00000000">
            <w:pPr>
              <w:keepNext/>
              <w:keepLines/>
              <w:spacing w:after="0" w:line="240" w:lineRule="auto"/>
            </w:pPr>
            <w:r>
              <w:rPr>
                <w:sz w:val="18"/>
              </w:rPr>
              <w:t>Materijal i sirovine</w:t>
            </w:r>
          </w:p>
        </w:tc>
        <w:tc>
          <w:tcPr>
            <w:tcW w:w="700" w:type="dxa"/>
            <w:tcMar>
              <w:top w:w="0" w:type="dxa"/>
              <w:bottom w:w="0" w:type="dxa"/>
            </w:tcMar>
            <w:vAlign w:val="center"/>
          </w:tcPr>
          <w:p w:rsidR="00E4472F" w:rsidRDefault="00000000">
            <w:pPr>
              <w:keepNext/>
              <w:keepLines/>
              <w:spacing w:after="0" w:line="240" w:lineRule="auto"/>
            </w:pPr>
            <w:r>
              <w:rPr>
                <w:sz w:val="18"/>
              </w:rPr>
              <w:t>3222</w:t>
            </w:r>
          </w:p>
        </w:tc>
        <w:tc>
          <w:tcPr>
            <w:tcW w:w="1860" w:type="dxa"/>
            <w:tcMar>
              <w:top w:w="0" w:type="dxa"/>
              <w:bottom w:w="0" w:type="dxa"/>
            </w:tcMar>
            <w:vAlign w:val="center"/>
          </w:tcPr>
          <w:p w:rsidR="00E4472F" w:rsidRDefault="00000000">
            <w:pPr>
              <w:keepNext/>
              <w:keepLines/>
              <w:spacing w:after="0" w:line="240" w:lineRule="auto"/>
              <w:jc w:val="right"/>
            </w:pPr>
            <w:r>
              <w:rPr>
                <w:sz w:val="18"/>
              </w:rPr>
              <w:t>26.612.318,97</w:t>
            </w:r>
          </w:p>
        </w:tc>
        <w:tc>
          <w:tcPr>
            <w:tcW w:w="1860" w:type="dxa"/>
            <w:tcMar>
              <w:top w:w="0" w:type="dxa"/>
              <w:bottom w:w="0" w:type="dxa"/>
            </w:tcMar>
            <w:vAlign w:val="center"/>
          </w:tcPr>
          <w:p w:rsidR="00E4472F" w:rsidRDefault="00000000">
            <w:pPr>
              <w:keepNext/>
              <w:keepLines/>
              <w:spacing w:after="0" w:line="240" w:lineRule="auto"/>
              <w:jc w:val="right"/>
            </w:pPr>
            <w:r>
              <w:rPr>
                <w:sz w:val="18"/>
              </w:rPr>
              <w:t>859.962,00</w:t>
            </w:r>
          </w:p>
        </w:tc>
        <w:tc>
          <w:tcPr>
            <w:tcW w:w="700" w:type="dxa"/>
            <w:tcMar>
              <w:top w:w="0" w:type="dxa"/>
              <w:bottom w:w="0" w:type="dxa"/>
            </w:tcMar>
            <w:vAlign w:val="center"/>
          </w:tcPr>
          <w:p w:rsidR="00E4472F" w:rsidRDefault="00000000">
            <w:pPr>
              <w:keepNext/>
              <w:keepLines/>
              <w:spacing w:after="0" w:line="240" w:lineRule="auto"/>
              <w:jc w:val="right"/>
            </w:pPr>
            <w:r>
              <w:rPr>
                <w:sz w:val="18"/>
              </w:rPr>
              <w:t>3,2</w:t>
            </w:r>
          </w:p>
        </w:tc>
      </w:tr>
    </w:tbl>
    <w:p w:rsidR="00E4472F" w:rsidRDefault="00E4472F">
      <w:pPr>
        <w:spacing w:after="0"/>
      </w:pPr>
    </w:p>
    <w:p w:rsidR="00E4472F" w:rsidRDefault="00000000">
      <w:pPr>
        <w:jc w:val="both"/>
      </w:pPr>
      <w:r>
        <w:t>Rashodi za materijal i sirovine u 2025. godini ostvareni su u iznosu od 859.962,00 eura, što predstavlja smanjenje od 96,8 % u odnosu na 2024. godinu. Navedeno smanjenje posljedica je promjene načina evidentiranja, odnosno izdvajanja rashoda za lijekove i potrošni medicinski materijal na zaseban konto. Na ovoj poziciji u 2025. godini evidentirani su rashodi za hranu i piće u iznosu od 852.648,54 eura, te rashodi po osnovi kala, rasipa, loma i kvara materijala u iznosu od 7.313,46 eura.</w:t>
      </w:r>
    </w:p>
    <w:p w:rsidR="00E4472F" w:rsidRDefault="00E4472F"/>
    <w:p w:rsidR="00E4472F" w:rsidRDefault="00000000">
      <w:pPr>
        <w:keepNext/>
        <w:spacing w:line="240" w:lineRule="auto"/>
        <w:jc w:val="center"/>
      </w:pPr>
      <w:r>
        <w:rPr>
          <w:sz w:val="28"/>
        </w:rPr>
        <w:t>Bilješka 51.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3223</w:t>
            </w:r>
          </w:p>
        </w:tc>
        <w:tc>
          <w:tcPr>
            <w:tcW w:w="3180" w:type="dxa"/>
            <w:tcMar>
              <w:top w:w="0" w:type="dxa"/>
              <w:bottom w:w="0" w:type="dxa"/>
            </w:tcMar>
            <w:vAlign w:val="center"/>
          </w:tcPr>
          <w:p w:rsidR="00E4472F" w:rsidRDefault="00000000">
            <w:pPr>
              <w:keepNext/>
              <w:keepLines/>
              <w:spacing w:after="0" w:line="240" w:lineRule="auto"/>
            </w:pPr>
            <w:r>
              <w:rPr>
                <w:sz w:val="18"/>
              </w:rPr>
              <w:t>Energija</w:t>
            </w:r>
          </w:p>
        </w:tc>
        <w:tc>
          <w:tcPr>
            <w:tcW w:w="700" w:type="dxa"/>
            <w:tcMar>
              <w:top w:w="0" w:type="dxa"/>
              <w:bottom w:w="0" w:type="dxa"/>
            </w:tcMar>
            <w:vAlign w:val="center"/>
          </w:tcPr>
          <w:p w:rsidR="00E4472F" w:rsidRDefault="00000000">
            <w:pPr>
              <w:keepNext/>
              <w:keepLines/>
              <w:spacing w:after="0" w:line="240" w:lineRule="auto"/>
            </w:pPr>
            <w:r>
              <w:rPr>
                <w:sz w:val="18"/>
              </w:rPr>
              <w:t>3223</w:t>
            </w:r>
          </w:p>
        </w:tc>
        <w:tc>
          <w:tcPr>
            <w:tcW w:w="1860" w:type="dxa"/>
            <w:tcMar>
              <w:top w:w="0" w:type="dxa"/>
              <w:bottom w:w="0" w:type="dxa"/>
            </w:tcMar>
            <w:vAlign w:val="center"/>
          </w:tcPr>
          <w:p w:rsidR="00E4472F" w:rsidRDefault="00000000">
            <w:pPr>
              <w:keepNext/>
              <w:keepLines/>
              <w:spacing w:after="0" w:line="240" w:lineRule="auto"/>
              <w:jc w:val="right"/>
            </w:pPr>
            <w:r>
              <w:rPr>
                <w:sz w:val="18"/>
              </w:rPr>
              <w:t>853.459,26</w:t>
            </w:r>
          </w:p>
        </w:tc>
        <w:tc>
          <w:tcPr>
            <w:tcW w:w="1860" w:type="dxa"/>
            <w:tcMar>
              <w:top w:w="0" w:type="dxa"/>
              <w:bottom w:w="0" w:type="dxa"/>
            </w:tcMar>
            <w:vAlign w:val="center"/>
          </w:tcPr>
          <w:p w:rsidR="00E4472F" w:rsidRDefault="00000000">
            <w:pPr>
              <w:keepNext/>
              <w:keepLines/>
              <w:spacing w:after="0" w:line="240" w:lineRule="auto"/>
              <w:jc w:val="right"/>
            </w:pPr>
            <w:r>
              <w:rPr>
                <w:sz w:val="18"/>
              </w:rPr>
              <w:t>975.107,58</w:t>
            </w:r>
          </w:p>
        </w:tc>
        <w:tc>
          <w:tcPr>
            <w:tcW w:w="700" w:type="dxa"/>
            <w:tcMar>
              <w:top w:w="0" w:type="dxa"/>
              <w:bottom w:w="0" w:type="dxa"/>
            </w:tcMar>
            <w:vAlign w:val="center"/>
          </w:tcPr>
          <w:p w:rsidR="00E4472F" w:rsidRDefault="00000000">
            <w:pPr>
              <w:keepNext/>
              <w:keepLines/>
              <w:spacing w:after="0" w:line="240" w:lineRule="auto"/>
              <w:jc w:val="right"/>
            </w:pPr>
            <w:r>
              <w:rPr>
                <w:sz w:val="18"/>
              </w:rPr>
              <w:t>114,3</w:t>
            </w:r>
          </w:p>
        </w:tc>
      </w:tr>
    </w:tbl>
    <w:p w:rsidR="00E4472F" w:rsidRDefault="00E4472F">
      <w:pPr>
        <w:spacing w:after="0"/>
      </w:pPr>
    </w:p>
    <w:p w:rsidR="00E4472F" w:rsidRDefault="00000000">
      <w:pPr>
        <w:jc w:val="both"/>
      </w:pPr>
      <w:r>
        <w:t>Rashodi za energiju u 2025. godini iznosili su 975.107,58 eura, što predstavlja rast od 14,3 % u odnosu na 2024. godinu, kada su iznosili 853.459,26 eura. Najznačajniji dio navedenih rashoda odnosi se na rashode za električnu energiju u iznosu od 501.793,86 eura, toplinsku energiju (toplanu) u iznosu od 460.436,14 eura, naftne derivate u iznosu od 7.515,31 eura te plin u iznosu od 5.362,27 eura. Porast rashoda za energiju najvećim je dijelom posljedica postupnog ukidanja državnih subvencija za energiju, koje su u prethodnom razdoblju djelomično ublažavale troškove električne i plinske energije za javne ustanove, a ne značajnog povećanja ukupne potrošnje energije. Subvencije su se tijekom 2025. godine postupno smanjivale, dok je njihovo potpuno ukidanje planirano nakon 1. travnja 2026. godine, čime se cijene energije vraćaju na tržišne razine bez posebnih državnih potpora.</w:t>
      </w:r>
    </w:p>
    <w:p w:rsidR="00E4472F" w:rsidRDefault="00E4472F"/>
    <w:p w:rsidR="00E4472F" w:rsidRDefault="00000000">
      <w:pPr>
        <w:keepNext/>
        <w:spacing w:line="240" w:lineRule="auto"/>
        <w:jc w:val="center"/>
      </w:pPr>
      <w:r>
        <w:rPr>
          <w:sz w:val="28"/>
        </w:rPr>
        <w:t>Bilješka 52.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3224</w:t>
            </w:r>
          </w:p>
        </w:tc>
        <w:tc>
          <w:tcPr>
            <w:tcW w:w="3180" w:type="dxa"/>
            <w:tcMar>
              <w:top w:w="0" w:type="dxa"/>
              <w:bottom w:w="0" w:type="dxa"/>
            </w:tcMar>
            <w:vAlign w:val="center"/>
          </w:tcPr>
          <w:p w:rsidR="00E4472F" w:rsidRDefault="00000000">
            <w:pPr>
              <w:keepNext/>
              <w:keepLines/>
              <w:spacing w:after="0" w:line="240" w:lineRule="auto"/>
            </w:pPr>
            <w:r>
              <w:rPr>
                <w:sz w:val="18"/>
              </w:rPr>
              <w:t>Materijal i dijelovi za tekuće i investicijsko održavanje</w:t>
            </w:r>
          </w:p>
        </w:tc>
        <w:tc>
          <w:tcPr>
            <w:tcW w:w="700" w:type="dxa"/>
            <w:tcMar>
              <w:top w:w="0" w:type="dxa"/>
              <w:bottom w:w="0" w:type="dxa"/>
            </w:tcMar>
            <w:vAlign w:val="center"/>
          </w:tcPr>
          <w:p w:rsidR="00E4472F" w:rsidRDefault="00000000">
            <w:pPr>
              <w:keepNext/>
              <w:keepLines/>
              <w:spacing w:after="0" w:line="240" w:lineRule="auto"/>
            </w:pPr>
            <w:r>
              <w:rPr>
                <w:sz w:val="18"/>
              </w:rPr>
              <w:t>3224</w:t>
            </w:r>
          </w:p>
        </w:tc>
        <w:tc>
          <w:tcPr>
            <w:tcW w:w="1860" w:type="dxa"/>
            <w:tcMar>
              <w:top w:w="0" w:type="dxa"/>
              <w:bottom w:w="0" w:type="dxa"/>
            </w:tcMar>
            <w:vAlign w:val="center"/>
          </w:tcPr>
          <w:p w:rsidR="00E4472F" w:rsidRDefault="00000000">
            <w:pPr>
              <w:keepNext/>
              <w:keepLines/>
              <w:spacing w:after="0" w:line="240" w:lineRule="auto"/>
              <w:jc w:val="right"/>
            </w:pPr>
            <w:r>
              <w:rPr>
                <w:sz w:val="18"/>
              </w:rPr>
              <w:t>232.535,07</w:t>
            </w:r>
          </w:p>
        </w:tc>
        <w:tc>
          <w:tcPr>
            <w:tcW w:w="1860" w:type="dxa"/>
            <w:tcMar>
              <w:top w:w="0" w:type="dxa"/>
              <w:bottom w:w="0" w:type="dxa"/>
            </w:tcMar>
            <w:vAlign w:val="center"/>
          </w:tcPr>
          <w:p w:rsidR="00E4472F" w:rsidRDefault="00000000">
            <w:pPr>
              <w:keepNext/>
              <w:keepLines/>
              <w:spacing w:after="0" w:line="240" w:lineRule="auto"/>
              <w:jc w:val="right"/>
            </w:pPr>
            <w:r>
              <w:rPr>
                <w:sz w:val="18"/>
              </w:rPr>
              <w:t>133.101,10</w:t>
            </w:r>
          </w:p>
        </w:tc>
        <w:tc>
          <w:tcPr>
            <w:tcW w:w="700" w:type="dxa"/>
            <w:tcMar>
              <w:top w:w="0" w:type="dxa"/>
              <w:bottom w:w="0" w:type="dxa"/>
            </w:tcMar>
            <w:vAlign w:val="center"/>
          </w:tcPr>
          <w:p w:rsidR="00E4472F" w:rsidRDefault="00000000">
            <w:pPr>
              <w:keepNext/>
              <w:keepLines/>
              <w:spacing w:after="0" w:line="240" w:lineRule="auto"/>
              <w:jc w:val="right"/>
            </w:pPr>
            <w:r>
              <w:rPr>
                <w:sz w:val="18"/>
              </w:rPr>
              <w:t>57,2</w:t>
            </w:r>
          </w:p>
        </w:tc>
      </w:tr>
    </w:tbl>
    <w:p w:rsidR="00E4472F" w:rsidRDefault="00E4472F">
      <w:pPr>
        <w:spacing w:after="0"/>
      </w:pPr>
    </w:p>
    <w:p w:rsidR="00E4472F" w:rsidRDefault="00000000">
      <w:r>
        <w:t>Materijal i dijelovi za tekuće i investicijsko održavanje su iznosili 133.101,10 eura i manji su za 42,8%  u odnosu na 2024. godinu, za razliku od 2024. nije bilo zamjene skupljih rezervnih dijelova medicinske opreme.</w:t>
      </w:r>
    </w:p>
    <w:p w:rsidR="00E4472F" w:rsidRDefault="00E4472F"/>
    <w:p w:rsidR="00E4472F" w:rsidRDefault="00000000">
      <w:pPr>
        <w:keepNext/>
        <w:spacing w:line="240" w:lineRule="auto"/>
        <w:jc w:val="center"/>
      </w:pPr>
      <w:r>
        <w:rPr>
          <w:sz w:val="28"/>
        </w:rPr>
        <w:lastRenderedPageBreak/>
        <w:t>Bilješka 53.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3225</w:t>
            </w:r>
          </w:p>
        </w:tc>
        <w:tc>
          <w:tcPr>
            <w:tcW w:w="3180" w:type="dxa"/>
            <w:tcMar>
              <w:top w:w="0" w:type="dxa"/>
              <w:bottom w:w="0" w:type="dxa"/>
            </w:tcMar>
            <w:vAlign w:val="center"/>
          </w:tcPr>
          <w:p w:rsidR="00E4472F" w:rsidRDefault="00000000">
            <w:pPr>
              <w:keepNext/>
              <w:keepLines/>
              <w:spacing w:after="0" w:line="240" w:lineRule="auto"/>
            </w:pPr>
            <w:r>
              <w:rPr>
                <w:sz w:val="18"/>
              </w:rPr>
              <w:t xml:space="preserve">Sitni inventar i </w:t>
            </w:r>
            <w:proofErr w:type="spellStart"/>
            <w:r>
              <w:rPr>
                <w:sz w:val="18"/>
              </w:rPr>
              <w:t>autogume</w:t>
            </w:r>
            <w:proofErr w:type="spellEnd"/>
          </w:p>
        </w:tc>
        <w:tc>
          <w:tcPr>
            <w:tcW w:w="700" w:type="dxa"/>
            <w:tcMar>
              <w:top w:w="0" w:type="dxa"/>
              <w:bottom w:w="0" w:type="dxa"/>
            </w:tcMar>
            <w:vAlign w:val="center"/>
          </w:tcPr>
          <w:p w:rsidR="00E4472F" w:rsidRDefault="00000000">
            <w:pPr>
              <w:keepNext/>
              <w:keepLines/>
              <w:spacing w:after="0" w:line="240" w:lineRule="auto"/>
            </w:pPr>
            <w:r>
              <w:rPr>
                <w:sz w:val="18"/>
              </w:rPr>
              <w:t>3225</w:t>
            </w:r>
          </w:p>
        </w:tc>
        <w:tc>
          <w:tcPr>
            <w:tcW w:w="1860" w:type="dxa"/>
            <w:tcMar>
              <w:top w:w="0" w:type="dxa"/>
              <w:bottom w:w="0" w:type="dxa"/>
            </w:tcMar>
            <w:vAlign w:val="center"/>
          </w:tcPr>
          <w:p w:rsidR="00E4472F" w:rsidRDefault="00000000">
            <w:pPr>
              <w:keepNext/>
              <w:keepLines/>
              <w:spacing w:after="0" w:line="240" w:lineRule="auto"/>
              <w:jc w:val="right"/>
            </w:pPr>
            <w:r>
              <w:rPr>
                <w:sz w:val="18"/>
              </w:rPr>
              <w:t>384.163,49</w:t>
            </w:r>
          </w:p>
        </w:tc>
        <w:tc>
          <w:tcPr>
            <w:tcW w:w="1860" w:type="dxa"/>
            <w:tcMar>
              <w:top w:w="0" w:type="dxa"/>
              <w:bottom w:w="0" w:type="dxa"/>
            </w:tcMar>
            <w:vAlign w:val="center"/>
          </w:tcPr>
          <w:p w:rsidR="00E4472F" w:rsidRDefault="00000000">
            <w:pPr>
              <w:keepNext/>
              <w:keepLines/>
              <w:spacing w:after="0" w:line="240" w:lineRule="auto"/>
              <w:jc w:val="right"/>
            </w:pPr>
            <w:r>
              <w:rPr>
                <w:sz w:val="18"/>
              </w:rPr>
              <w:t>259.970,36</w:t>
            </w:r>
          </w:p>
        </w:tc>
        <w:tc>
          <w:tcPr>
            <w:tcW w:w="700" w:type="dxa"/>
            <w:tcMar>
              <w:top w:w="0" w:type="dxa"/>
              <w:bottom w:w="0" w:type="dxa"/>
            </w:tcMar>
            <w:vAlign w:val="center"/>
          </w:tcPr>
          <w:p w:rsidR="00E4472F" w:rsidRDefault="00000000">
            <w:pPr>
              <w:keepNext/>
              <w:keepLines/>
              <w:spacing w:after="0" w:line="240" w:lineRule="auto"/>
              <w:jc w:val="right"/>
            </w:pPr>
            <w:r>
              <w:rPr>
                <w:sz w:val="18"/>
              </w:rPr>
              <w:t>67,7</w:t>
            </w:r>
          </w:p>
        </w:tc>
      </w:tr>
    </w:tbl>
    <w:p w:rsidR="00E4472F" w:rsidRDefault="00E4472F">
      <w:pPr>
        <w:spacing w:after="0"/>
      </w:pPr>
    </w:p>
    <w:p w:rsidR="00E4472F" w:rsidRDefault="00000000">
      <w:pPr>
        <w:jc w:val="both"/>
      </w:pPr>
      <w:r>
        <w:t>Rashodi za sitni inventar i auto-gume u 2025. godini iznosili su 259.970,36 eura te su u odnosu na 2024. godinu, kada su iznosili 384.163,49 eura, smanjeni. Najveći dio navedenih rashoda odnosi se na rashode za sitni inventar u iznosu od 258.129,66 eura, dok se preostali dio odnosi na rashode za auto-gume u iznosu od 1.840,70 eura.</w:t>
      </w:r>
    </w:p>
    <w:p w:rsidR="00E4472F" w:rsidRDefault="00E4472F"/>
    <w:p w:rsidR="00E4472F" w:rsidRDefault="00000000">
      <w:pPr>
        <w:keepNext/>
        <w:spacing w:line="240" w:lineRule="auto"/>
        <w:jc w:val="center"/>
      </w:pPr>
      <w:r>
        <w:rPr>
          <w:sz w:val="28"/>
        </w:rPr>
        <w:t>Bilješka 54.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3227</w:t>
            </w:r>
          </w:p>
        </w:tc>
        <w:tc>
          <w:tcPr>
            <w:tcW w:w="3180" w:type="dxa"/>
            <w:tcMar>
              <w:top w:w="0" w:type="dxa"/>
              <w:bottom w:w="0" w:type="dxa"/>
            </w:tcMar>
            <w:vAlign w:val="center"/>
          </w:tcPr>
          <w:p w:rsidR="00E4472F" w:rsidRDefault="00000000">
            <w:pPr>
              <w:keepNext/>
              <w:keepLines/>
              <w:spacing w:after="0" w:line="240" w:lineRule="auto"/>
            </w:pPr>
            <w:r>
              <w:rPr>
                <w:sz w:val="18"/>
              </w:rPr>
              <w:t>Službena, radna i zaštitna odjeća i obuća</w:t>
            </w:r>
          </w:p>
        </w:tc>
        <w:tc>
          <w:tcPr>
            <w:tcW w:w="700" w:type="dxa"/>
            <w:tcMar>
              <w:top w:w="0" w:type="dxa"/>
              <w:bottom w:w="0" w:type="dxa"/>
            </w:tcMar>
            <w:vAlign w:val="center"/>
          </w:tcPr>
          <w:p w:rsidR="00E4472F" w:rsidRDefault="00000000">
            <w:pPr>
              <w:keepNext/>
              <w:keepLines/>
              <w:spacing w:after="0" w:line="240" w:lineRule="auto"/>
            </w:pPr>
            <w:r>
              <w:rPr>
                <w:sz w:val="18"/>
              </w:rPr>
              <w:t>3227</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29.940,94</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pPr>
        <w:jc w:val="both"/>
      </w:pPr>
      <w:r>
        <w:t>Rashodi za službenu, radnu i zaštitnu odjeću i obuću u 2025. godini iznosili su 29.940,94 eura, dok u 2024. godini bolnica nije imala navedene rashode. Rashodi se odnose na nabavu zaštitne odjeće i obuće za nemedicinske djelatnike, odnosno zaposlenike Službe zaštite na radu i Službe za tehničke poslove.</w:t>
      </w:r>
    </w:p>
    <w:p w:rsidR="00E4472F" w:rsidRDefault="00E4472F"/>
    <w:p w:rsidR="00E4472F" w:rsidRDefault="00000000">
      <w:pPr>
        <w:keepNext/>
        <w:spacing w:line="240" w:lineRule="auto"/>
        <w:jc w:val="center"/>
      </w:pPr>
      <w:r>
        <w:rPr>
          <w:sz w:val="28"/>
        </w:rPr>
        <w:t>Bilješka 55.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323</w:t>
            </w:r>
          </w:p>
        </w:tc>
        <w:tc>
          <w:tcPr>
            <w:tcW w:w="3180" w:type="dxa"/>
            <w:tcMar>
              <w:top w:w="0" w:type="dxa"/>
              <w:bottom w:w="0" w:type="dxa"/>
            </w:tcMar>
            <w:vAlign w:val="center"/>
          </w:tcPr>
          <w:p w:rsidR="00E4472F" w:rsidRDefault="00000000">
            <w:pPr>
              <w:keepNext/>
              <w:keepLines/>
              <w:spacing w:after="0" w:line="240" w:lineRule="auto"/>
            </w:pPr>
            <w:r>
              <w:rPr>
                <w:sz w:val="18"/>
              </w:rPr>
              <w:t>Rashodi za usluge (šifre 3231 do 3239)</w:t>
            </w:r>
          </w:p>
        </w:tc>
        <w:tc>
          <w:tcPr>
            <w:tcW w:w="700" w:type="dxa"/>
            <w:tcMar>
              <w:top w:w="0" w:type="dxa"/>
              <w:bottom w:w="0" w:type="dxa"/>
            </w:tcMar>
            <w:vAlign w:val="center"/>
          </w:tcPr>
          <w:p w:rsidR="00E4472F" w:rsidRDefault="00000000">
            <w:pPr>
              <w:keepNext/>
              <w:keepLines/>
              <w:spacing w:after="0" w:line="240" w:lineRule="auto"/>
            </w:pPr>
            <w:r>
              <w:rPr>
                <w:sz w:val="18"/>
              </w:rPr>
              <w:t>323</w:t>
            </w:r>
          </w:p>
        </w:tc>
        <w:tc>
          <w:tcPr>
            <w:tcW w:w="1860" w:type="dxa"/>
            <w:tcMar>
              <w:top w:w="0" w:type="dxa"/>
              <w:bottom w:w="0" w:type="dxa"/>
            </w:tcMar>
            <w:vAlign w:val="center"/>
          </w:tcPr>
          <w:p w:rsidR="00E4472F" w:rsidRDefault="00000000">
            <w:pPr>
              <w:keepNext/>
              <w:keepLines/>
              <w:spacing w:after="0" w:line="240" w:lineRule="auto"/>
              <w:jc w:val="right"/>
            </w:pPr>
            <w:r>
              <w:rPr>
                <w:sz w:val="18"/>
              </w:rPr>
              <w:t>5.342.457,44</w:t>
            </w:r>
          </w:p>
        </w:tc>
        <w:tc>
          <w:tcPr>
            <w:tcW w:w="1860" w:type="dxa"/>
            <w:tcMar>
              <w:top w:w="0" w:type="dxa"/>
              <w:bottom w:w="0" w:type="dxa"/>
            </w:tcMar>
            <w:vAlign w:val="center"/>
          </w:tcPr>
          <w:p w:rsidR="00E4472F" w:rsidRDefault="00000000">
            <w:pPr>
              <w:keepNext/>
              <w:keepLines/>
              <w:spacing w:after="0" w:line="240" w:lineRule="auto"/>
              <w:jc w:val="right"/>
            </w:pPr>
            <w:r>
              <w:rPr>
                <w:sz w:val="18"/>
              </w:rPr>
              <w:t>6.224.917,35</w:t>
            </w:r>
          </w:p>
        </w:tc>
        <w:tc>
          <w:tcPr>
            <w:tcW w:w="700" w:type="dxa"/>
            <w:tcMar>
              <w:top w:w="0" w:type="dxa"/>
              <w:bottom w:w="0" w:type="dxa"/>
            </w:tcMar>
            <w:vAlign w:val="center"/>
          </w:tcPr>
          <w:p w:rsidR="00E4472F" w:rsidRDefault="00000000">
            <w:pPr>
              <w:keepNext/>
              <w:keepLines/>
              <w:spacing w:after="0" w:line="240" w:lineRule="auto"/>
              <w:jc w:val="right"/>
            </w:pPr>
            <w:r>
              <w:rPr>
                <w:sz w:val="18"/>
              </w:rPr>
              <w:t>116,5</w:t>
            </w:r>
          </w:p>
        </w:tc>
      </w:tr>
    </w:tbl>
    <w:p w:rsidR="00E4472F" w:rsidRDefault="00E4472F">
      <w:pPr>
        <w:spacing w:after="0"/>
      </w:pPr>
    </w:p>
    <w:p w:rsidR="00E4472F" w:rsidRDefault="00000000">
      <w:pPr>
        <w:jc w:val="both"/>
      </w:pPr>
      <w:r>
        <w:t>Rashodi za usluge u 2025. godini ostvareni su u iznosu od 6.224.917,35 eura te su u odnosu na 2024. godinu, kada su iznosili 5.342.457,44 eura, povećani za 16,5 %. Najznačajniji rast rashoda ostvaren je u okviru rashoda za tekuće i investicijsko održavanje, komunalne usluge te intelektualne i osobne usluge.</w:t>
      </w:r>
    </w:p>
    <w:p w:rsidR="00E4472F" w:rsidRDefault="00E4472F"/>
    <w:p w:rsidR="00E4472F" w:rsidRDefault="00000000">
      <w:pPr>
        <w:keepNext/>
        <w:spacing w:line="240" w:lineRule="auto"/>
        <w:jc w:val="center"/>
      </w:pPr>
      <w:r>
        <w:rPr>
          <w:sz w:val="28"/>
        </w:rPr>
        <w:t>Bilješka 56.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3231</w:t>
            </w:r>
          </w:p>
        </w:tc>
        <w:tc>
          <w:tcPr>
            <w:tcW w:w="3180" w:type="dxa"/>
            <w:tcMar>
              <w:top w:w="0" w:type="dxa"/>
              <w:bottom w:w="0" w:type="dxa"/>
            </w:tcMar>
            <w:vAlign w:val="center"/>
          </w:tcPr>
          <w:p w:rsidR="00E4472F" w:rsidRDefault="00000000">
            <w:pPr>
              <w:keepNext/>
              <w:keepLines/>
              <w:spacing w:after="0" w:line="240" w:lineRule="auto"/>
            </w:pPr>
            <w:r>
              <w:rPr>
                <w:sz w:val="18"/>
              </w:rPr>
              <w:t>Usluge telefona, interneta, pošte i prijevoza</w:t>
            </w:r>
          </w:p>
        </w:tc>
        <w:tc>
          <w:tcPr>
            <w:tcW w:w="700" w:type="dxa"/>
            <w:tcMar>
              <w:top w:w="0" w:type="dxa"/>
              <w:bottom w:w="0" w:type="dxa"/>
            </w:tcMar>
            <w:vAlign w:val="center"/>
          </w:tcPr>
          <w:p w:rsidR="00E4472F" w:rsidRDefault="00000000">
            <w:pPr>
              <w:keepNext/>
              <w:keepLines/>
              <w:spacing w:after="0" w:line="240" w:lineRule="auto"/>
            </w:pPr>
            <w:r>
              <w:rPr>
                <w:sz w:val="18"/>
              </w:rPr>
              <w:t>3231</w:t>
            </w:r>
          </w:p>
        </w:tc>
        <w:tc>
          <w:tcPr>
            <w:tcW w:w="1860" w:type="dxa"/>
            <w:tcMar>
              <w:top w:w="0" w:type="dxa"/>
              <w:bottom w:w="0" w:type="dxa"/>
            </w:tcMar>
            <w:vAlign w:val="center"/>
          </w:tcPr>
          <w:p w:rsidR="00E4472F" w:rsidRDefault="00000000">
            <w:pPr>
              <w:keepNext/>
              <w:keepLines/>
              <w:spacing w:after="0" w:line="240" w:lineRule="auto"/>
              <w:jc w:val="right"/>
            </w:pPr>
            <w:r>
              <w:rPr>
                <w:sz w:val="18"/>
              </w:rPr>
              <w:t>39.794,67</w:t>
            </w:r>
          </w:p>
        </w:tc>
        <w:tc>
          <w:tcPr>
            <w:tcW w:w="1860" w:type="dxa"/>
            <w:tcMar>
              <w:top w:w="0" w:type="dxa"/>
              <w:bottom w:w="0" w:type="dxa"/>
            </w:tcMar>
            <w:vAlign w:val="center"/>
          </w:tcPr>
          <w:p w:rsidR="00E4472F" w:rsidRDefault="00000000">
            <w:pPr>
              <w:keepNext/>
              <w:keepLines/>
              <w:spacing w:after="0" w:line="240" w:lineRule="auto"/>
              <w:jc w:val="right"/>
            </w:pPr>
            <w:r>
              <w:rPr>
                <w:sz w:val="18"/>
              </w:rPr>
              <w:t>63.666,50</w:t>
            </w:r>
          </w:p>
        </w:tc>
        <w:tc>
          <w:tcPr>
            <w:tcW w:w="700" w:type="dxa"/>
            <w:tcMar>
              <w:top w:w="0" w:type="dxa"/>
              <w:bottom w:w="0" w:type="dxa"/>
            </w:tcMar>
            <w:vAlign w:val="center"/>
          </w:tcPr>
          <w:p w:rsidR="00E4472F" w:rsidRDefault="00000000">
            <w:pPr>
              <w:keepNext/>
              <w:keepLines/>
              <w:spacing w:after="0" w:line="240" w:lineRule="auto"/>
              <w:jc w:val="right"/>
            </w:pPr>
            <w:r>
              <w:rPr>
                <w:sz w:val="18"/>
              </w:rPr>
              <w:t>160,0</w:t>
            </w:r>
          </w:p>
        </w:tc>
      </w:tr>
    </w:tbl>
    <w:p w:rsidR="00E4472F" w:rsidRDefault="00E4472F">
      <w:pPr>
        <w:spacing w:after="0"/>
      </w:pPr>
    </w:p>
    <w:p w:rsidR="00E4472F" w:rsidRDefault="00000000">
      <w:pPr>
        <w:jc w:val="both"/>
      </w:pPr>
      <w:r>
        <w:lastRenderedPageBreak/>
        <w:t>Rashodi za usluge telefona, interneta, pošte i prijevoza u 2025. godini iznosili su 63.666,50 eura te su u odnosu na 2024. godinu, kada su iznosili 39.794,67 eura, povećani za 60 %. Najznačajniji dio navedenih rashoda odnosi se na poštanske usluge u iznosu od 37.206,97 eura te usluge telefona i telefaksa u iznosu od 19.586,37 eura. Preostali rashodi odnose se na špediterske usluge i transport u iznosu od 4.442,04 eura, špediterske usluge – prijevoz inkubatora u iznosu od 962,00 eura, usluge rent-a-car i taxi prijevoza u iznosu od 1.287,35 eura, kao i ostale usluge komunikacije i prijevoza, uključujući cestarine, autoceste i parking, u manjem ukupnom iznosu. Povećanje navedenih rashoda u 2025. godini prvenstveno je posljedica povećanog obujma poštanskih i špediterskih usluga te rasta cijena komunikacijskih i prijevoznih usluga, povezanih s većim opsegom poslovnih aktivnosti.</w:t>
      </w:r>
    </w:p>
    <w:p w:rsidR="00E4472F" w:rsidRDefault="00E4472F"/>
    <w:p w:rsidR="00E4472F" w:rsidRDefault="00000000">
      <w:pPr>
        <w:keepNext/>
        <w:spacing w:line="240" w:lineRule="auto"/>
        <w:jc w:val="center"/>
      </w:pPr>
      <w:r>
        <w:rPr>
          <w:sz w:val="28"/>
        </w:rPr>
        <w:t>Bilješka 57.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3232</w:t>
            </w:r>
          </w:p>
        </w:tc>
        <w:tc>
          <w:tcPr>
            <w:tcW w:w="3180" w:type="dxa"/>
            <w:tcMar>
              <w:top w:w="0" w:type="dxa"/>
              <w:bottom w:w="0" w:type="dxa"/>
            </w:tcMar>
            <w:vAlign w:val="center"/>
          </w:tcPr>
          <w:p w:rsidR="00E4472F" w:rsidRDefault="00000000">
            <w:pPr>
              <w:keepNext/>
              <w:keepLines/>
              <w:spacing w:after="0" w:line="240" w:lineRule="auto"/>
            </w:pPr>
            <w:r>
              <w:rPr>
                <w:sz w:val="18"/>
              </w:rPr>
              <w:t>Usluge tekućeg i investicijskog održavanja</w:t>
            </w:r>
          </w:p>
        </w:tc>
        <w:tc>
          <w:tcPr>
            <w:tcW w:w="700" w:type="dxa"/>
            <w:tcMar>
              <w:top w:w="0" w:type="dxa"/>
              <w:bottom w:w="0" w:type="dxa"/>
            </w:tcMar>
            <w:vAlign w:val="center"/>
          </w:tcPr>
          <w:p w:rsidR="00E4472F" w:rsidRDefault="00000000">
            <w:pPr>
              <w:keepNext/>
              <w:keepLines/>
              <w:spacing w:after="0" w:line="240" w:lineRule="auto"/>
            </w:pPr>
            <w:r>
              <w:rPr>
                <w:sz w:val="18"/>
              </w:rPr>
              <w:t>3232</w:t>
            </w:r>
          </w:p>
        </w:tc>
        <w:tc>
          <w:tcPr>
            <w:tcW w:w="1860" w:type="dxa"/>
            <w:tcMar>
              <w:top w:w="0" w:type="dxa"/>
              <w:bottom w:w="0" w:type="dxa"/>
            </w:tcMar>
            <w:vAlign w:val="center"/>
          </w:tcPr>
          <w:p w:rsidR="00E4472F" w:rsidRDefault="00000000">
            <w:pPr>
              <w:keepNext/>
              <w:keepLines/>
              <w:spacing w:after="0" w:line="240" w:lineRule="auto"/>
              <w:jc w:val="right"/>
            </w:pPr>
            <w:r>
              <w:rPr>
                <w:sz w:val="18"/>
              </w:rPr>
              <w:t>1.507.195,76</w:t>
            </w:r>
          </w:p>
        </w:tc>
        <w:tc>
          <w:tcPr>
            <w:tcW w:w="1860" w:type="dxa"/>
            <w:tcMar>
              <w:top w:w="0" w:type="dxa"/>
              <w:bottom w:w="0" w:type="dxa"/>
            </w:tcMar>
            <w:vAlign w:val="center"/>
          </w:tcPr>
          <w:p w:rsidR="00E4472F" w:rsidRDefault="00000000">
            <w:pPr>
              <w:keepNext/>
              <w:keepLines/>
              <w:spacing w:after="0" w:line="240" w:lineRule="auto"/>
              <w:jc w:val="right"/>
            </w:pPr>
            <w:r>
              <w:rPr>
                <w:sz w:val="18"/>
              </w:rPr>
              <w:t>1.836.343,61</w:t>
            </w:r>
          </w:p>
        </w:tc>
        <w:tc>
          <w:tcPr>
            <w:tcW w:w="700" w:type="dxa"/>
            <w:tcMar>
              <w:top w:w="0" w:type="dxa"/>
              <w:bottom w:w="0" w:type="dxa"/>
            </w:tcMar>
            <w:vAlign w:val="center"/>
          </w:tcPr>
          <w:p w:rsidR="00E4472F" w:rsidRDefault="00000000">
            <w:pPr>
              <w:keepNext/>
              <w:keepLines/>
              <w:spacing w:after="0" w:line="240" w:lineRule="auto"/>
              <w:jc w:val="right"/>
            </w:pPr>
            <w:r>
              <w:rPr>
                <w:sz w:val="18"/>
              </w:rPr>
              <w:t>121,8</w:t>
            </w:r>
          </w:p>
        </w:tc>
      </w:tr>
    </w:tbl>
    <w:p w:rsidR="00E4472F" w:rsidRDefault="00E4472F">
      <w:pPr>
        <w:spacing w:after="0"/>
      </w:pPr>
    </w:p>
    <w:p w:rsidR="00E4472F" w:rsidRDefault="00000000">
      <w:pPr>
        <w:jc w:val="both"/>
      </w:pPr>
      <w:r>
        <w:t>Rashodi za usluge tekućeg i investicijskog održavanja u 2025. godini iznose 1.836.343,61 euro i veći su za 21,8% u odnosu na 2024. kada su iznosili 1.507.195,76 eura. Rashodi za usluge tekućeg i investicijskog održavanja u 2025. godini najvećim se dijelom odnose na održavanje postrojenja i opreme u iznosu od 1.491.366,05 eura, dok su rashodi za održavanje građevinskih objekata iznosili 51.556,72 eura, održavanje prijevoznih sredstava 7.349,32 eura, a ostale usluge tekućeg i investicijskog održavanja 286.071,52 eura. Povećanje navedenih rashoda povezano je s pojačanim ulaganjima u održavanje medicinske i tehničke opreme radi osiguranja kontinuiteta i sigurnosti pružanja zdravstvenih usluga.</w:t>
      </w:r>
    </w:p>
    <w:p w:rsidR="00E4472F" w:rsidRDefault="00E4472F"/>
    <w:p w:rsidR="00E4472F" w:rsidRDefault="00000000">
      <w:pPr>
        <w:keepNext/>
        <w:spacing w:line="240" w:lineRule="auto"/>
        <w:jc w:val="center"/>
      </w:pPr>
      <w:r>
        <w:rPr>
          <w:sz w:val="28"/>
        </w:rPr>
        <w:t>Bilješka 58.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3233</w:t>
            </w:r>
          </w:p>
        </w:tc>
        <w:tc>
          <w:tcPr>
            <w:tcW w:w="3180" w:type="dxa"/>
            <w:tcMar>
              <w:top w:w="0" w:type="dxa"/>
              <w:bottom w:w="0" w:type="dxa"/>
            </w:tcMar>
            <w:vAlign w:val="center"/>
          </w:tcPr>
          <w:p w:rsidR="00E4472F" w:rsidRDefault="00000000">
            <w:pPr>
              <w:keepNext/>
              <w:keepLines/>
              <w:spacing w:after="0" w:line="240" w:lineRule="auto"/>
            </w:pPr>
            <w:r>
              <w:rPr>
                <w:sz w:val="18"/>
              </w:rPr>
              <w:t>Usluge promidžbe i informiranja</w:t>
            </w:r>
          </w:p>
        </w:tc>
        <w:tc>
          <w:tcPr>
            <w:tcW w:w="700" w:type="dxa"/>
            <w:tcMar>
              <w:top w:w="0" w:type="dxa"/>
              <w:bottom w:w="0" w:type="dxa"/>
            </w:tcMar>
            <w:vAlign w:val="center"/>
          </w:tcPr>
          <w:p w:rsidR="00E4472F" w:rsidRDefault="00000000">
            <w:pPr>
              <w:keepNext/>
              <w:keepLines/>
              <w:spacing w:after="0" w:line="240" w:lineRule="auto"/>
            </w:pPr>
            <w:r>
              <w:rPr>
                <w:sz w:val="18"/>
              </w:rPr>
              <w:t>3233</w:t>
            </w:r>
          </w:p>
        </w:tc>
        <w:tc>
          <w:tcPr>
            <w:tcW w:w="1860" w:type="dxa"/>
            <w:tcMar>
              <w:top w:w="0" w:type="dxa"/>
              <w:bottom w:w="0" w:type="dxa"/>
            </w:tcMar>
            <w:vAlign w:val="center"/>
          </w:tcPr>
          <w:p w:rsidR="00E4472F" w:rsidRDefault="00000000">
            <w:pPr>
              <w:keepNext/>
              <w:keepLines/>
              <w:spacing w:after="0" w:line="240" w:lineRule="auto"/>
              <w:jc w:val="right"/>
            </w:pPr>
            <w:r>
              <w:rPr>
                <w:sz w:val="18"/>
              </w:rPr>
              <w:t>19.091,12</w:t>
            </w:r>
          </w:p>
        </w:tc>
        <w:tc>
          <w:tcPr>
            <w:tcW w:w="1860" w:type="dxa"/>
            <w:tcMar>
              <w:top w:w="0" w:type="dxa"/>
              <w:bottom w:w="0" w:type="dxa"/>
            </w:tcMar>
            <w:vAlign w:val="center"/>
          </w:tcPr>
          <w:p w:rsidR="00E4472F" w:rsidRDefault="00000000">
            <w:pPr>
              <w:keepNext/>
              <w:keepLines/>
              <w:spacing w:after="0" w:line="240" w:lineRule="auto"/>
              <w:jc w:val="right"/>
            </w:pPr>
            <w:r>
              <w:rPr>
                <w:sz w:val="18"/>
              </w:rPr>
              <w:t>20.454,22</w:t>
            </w:r>
          </w:p>
        </w:tc>
        <w:tc>
          <w:tcPr>
            <w:tcW w:w="700" w:type="dxa"/>
            <w:tcMar>
              <w:top w:w="0" w:type="dxa"/>
              <w:bottom w:w="0" w:type="dxa"/>
            </w:tcMar>
            <w:vAlign w:val="center"/>
          </w:tcPr>
          <w:p w:rsidR="00E4472F" w:rsidRDefault="00000000">
            <w:pPr>
              <w:keepNext/>
              <w:keepLines/>
              <w:spacing w:after="0" w:line="240" w:lineRule="auto"/>
              <w:jc w:val="right"/>
            </w:pPr>
            <w:r>
              <w:rPr>
                <w:sz w:val="18"/>
              </w:rPr>
              <w:t>107,1</w:t>
            </w:r>
          </w:p>
        </w:tc>
      </w:tr>
    </w:tbl>
    <w:p w:rsidR="00E4472F" w:rsidRDefault="00E4472F">
      <w:pPr>
        <w:spacing w:after="0"/>
      </w:pPr>
    </w:p>
    <w:p w:rsidR="00E4472F" w:rsidRDefault="00000000">
      <w:pPr>
        <w:jc w:val="both"/>
      </w:pPr>
      <w:r>
        <w:t>Rashodi za usluge promidžbe i informiranja u 2025. godini iznosili su 20.454,22 eura te su u odnosu na 2024. godinu, kada su iznosili 19.091,12 eura, povećani za 7,1 %. Navedeni rashodi u najvećem se dijelu odnose na troškove objave oglasa za javne natječaje u javnim medijima, sukladno zakonskim obvezama.</w:t>
      </w:r>
    </w:p>
    <w:p w:rsidR="00E4472F" w:rsidRDefault="00E4472F"/>
    <w:p w:rsidR="00E4472F" w:rsidRDefault="00000000">
      <w:pPr>
        <w:keepNext/>
        <w:spacing w:line="240" w:lineRule="auto"/>
        <w:jc w:val="center"/>
      </w:pPr>
      <w:r>
        <w:rPr>
          <w:sz w:val="28"/>
        </w:rPr>
        <w:lastRenderedPageBreak/>
        <w:t>Bilješka 59.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3234</w:t>
            </w:r>
          </w:p>
        </w:tc>
        <w:tc>
          <w:tcPr>
            <w:tcW w:w="3180" w:type="dxa"/>
            <w:tcMar>
              <w:top w:w="0" w:type="dxa"/>
              <w:bottom w:w="0" w:type="dxa"/>
            </w:tcMar>
            <w:vAlign w:val="center"/>
          </w:tcPr>
          <w:p w:rsidR="00E4472F" w:rsidRDefault="00000000">
            <w:pPr>
              <w:keepNext/>
              <w:keepLines/>
              <w:spacing w:after="0" w:line="240" w:lineRule="auto"/>
            </w:pPr>
            <w:r>
              <w:rPr>
                <w:sz w:val="18"/>
              </w:rPr>
              <w:t>Komunalne usluge</w:t>
            </w:r>
          </w:p>
        </w:tc>
        <w:tc>
          <w:tcPr>
            <w:tcW w:w="700" w:type="dxa"/>
            <w:tcMar>
              <w:top w:w="0" w:type="dxa"/>
              <w:bottom w:w="0" w:type="dxa"/>
            </w:tcMar>
            <w:vAlign w:val="center"/>
          </w:tcPr>
          <w:p w:rsidR="00E4472F" w:rsidRDefault="00000000">
            <w:pPr>
              <w:keepNext/>
              <w:keepLines/>
              <w:spacing w:after="0" w:line="240" w:lineRule="auto"/>
            </w:pPr>
            <w:r>
              <w:rPr>
                <w:sz w:val="18"/>
              </w:rPr>
              <w:t>3234</w:t>
            </w:r>
          </w:p>
        </w:tc>
        <w:tc>
          <w:tcPr>
            <w:tcW w:w="1860" w:type="dxa"/>
            <w:tcMar>
              <w:top w:w="0" w:type="dxa"/>
              <w:bottom w:w="0" w:type="dxa"/>
            </w:tcMar>
            <w:vAlign w:val="center"/>
          </w:tcPr>
          <w:p w:rsidR="00E4472F" w:rsidRDefault="00000000">
            <w:pPr>
              <w:keepNext/>
              <w:keepLines/>
              <w:spacing w:after="0" w:line="240" w:lineRule="auto"/>
              <w:jc w:val="right"/>
            </w:pPr>
            <w:r>
              <w:rPr>
                <w:sz w:val="18"/>
              </w:rPr>
              <w:t>871.009,52</w:t>
            </w:r>
          </w:p>
        </w:tc>
        <w:tc>
          <w:tcPr>
            <w:tcW w:w="1860" w:type="dxa"/>
            <w:tcMar>
              <w:top w:w="0" w:type="dxa"/>
              <w:bottom w:w="0" w:type="dxa"/>
            </w:tcMar>
            <w:vAlign w:val="center"/>
          </w:tcPr>
          <w:p w:rsidR="00E4472F" w:rsidRDefault="00000000">
            <w:pPr>
              <w:keepNext/>
              <w:keepLines/>
              <w:spacing w:after="0" w:line="240" w:lineRule="auto"/>
              <w:jc w:val="right"/>
            </w:pPr>
            <w:r>
              <w:rPr>
                <w:sz w:val="18"/>
              </w:rPr>
              <w:t>1.044.890,37</w:t>
            </w:r>
          </w:p>
        </w:tc>
        <w:tc>
          <w:tcPr>
            <w:tcW w:w="700" w:type="dxa"/>
            <w:tcMar>
              <w:top w:w="0" w:type="dxa"/>
              <w:bottom w:w="0" w:type="dxa"/>
            </w:tcMar>
            <w:vAlign w:val="center"/>
          </w:tcPr>
          <w:p w:rsidR="00E4472F" w:rsidRDefault="00000000">
            <w:pPr>
              <w:keepNext/>
              <w:keepLines/>
              <w:spacing w:after="0" w:line="240" w:lineRule="auto"/>
              <w:jc w:val="right"/>
            </w:pPr>
            <w:r>
              <w:rPr>
                <w:sz w:val="18"/>
              </w:rPr>
              <w:t>120,0</w:t>
            </w:r>
          </w:p>
        </w:tc>
      </w:tr>
    </w:tbl>
    <w:p w:rsidR="00E4472F" w:rsidRDefault="00E4472F">
      <w:pPr>
        <w:spacing w:after="0"/>
      </w:pPr>
    </w:p>
    <w:p w:rsidR="00E4472F" w:rsidRDefault="00000000">
      <w:pPr>
        <w:jc w:val="both"/>
      </w:pPr>
      <w:r>
        <w:t>Rashodi za komunalne usluge u 2025. godini su iznosili 1.044.890,37 eura i veći su u odnosu na 2024. godinu za 20%. Rashodi za komunalne usluge u 2025. godini najvećim su dijelom ostvareni po osnovi ostalih komunalnih usluga (komunalne usluge, opskrba vode, odvoz smeća, deratizacija i dezinsekcija, usluga zbrinjavanje bio otpada, zbrinjavanje medicinske staklene ambalaže) u iznosu od 843.090,20 eura, zatim opskrbe vodom u iznosu od 144.113,21 eura, usluga iznošenja i odvoza smeća u iznosu od 51.334,46 eura te usluga deratizacije i dezinsekcije u iznosu od 6.352,50 eura. Povećanje rashoda za komunalne usluge u 2025. godini dijelom je posljedica rasta cijena komunalnih usluga na području Grada Zagreba, koji proizlazi iz povećanih operativnih troškova komunalnih poduzeća, uključujući troškove zbrinjavanja otpada i ostalih komunalnih djelatnosti.</w:t>
      </w:r>
    </w:p>
    <w:p w:rsidR="00E4472F" w:rsidRDefault="00E4472F"/>
    <w:p w:rsidR="00E4472F" w:rsidRDefault="00000000">
      <w:pPr>
        <w:keepNext/>
        <w:spacing w:line="240" w:lineRule="auto"/>
        <w:jc w:val="center"/>
      </w:pPr>
      <w:r>
        <w:rPr>
          <w:sz w:val="28"/>
        </w:rPr>
        <w:t>Bilješka 60.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3235</w:t>
            </w:r>
          </w:p>
        </w:tc>
        <w:tc>
          <w:tcPr>
            <w:tcW w:w="3180" w:type="dxa"/>
            <w:tcMar>
              <w:top w:w="0" w:type="dxa"/>
              <w:bottom w:w="0" w:type="dxa"/>
            </w:tcMar>
            <w:vAlign w:val="center"/>
          </w:tcPr>
          <w:p w:rsidR="00E4472F" w:rsidRDefault="00000000">
            <w:pPr>
              <w:keepNext/>
              <w:keepLines/>
              <w:spacing w:after="0" w:line="240" w:lineRule="auto"/>
            </w:pPr>
            <w:r>
              <w:rPr>
                <w:sz w:val="18"/>
              </w:rPr>
              <w:t>Zakupnine i najamnine</w:t>
            </w:r>
          </w:p>
        </w:tc>
        <w:tc>
          <w:tcPr>
            <w:tcW w:w="700" w:type="dxa"/>
            <w:tcMar>
              <w:top w:w="0" w:type="dxa"/>
              <w:bottom w:w="0" w:type="dxa"/>
            </w:tcMar>
            <w:vAlign w:val="center"/>
          </w:tcPr>
          <w:p w:rsidR="00E4472F" w:rsidRDefault="00000000">
            <w:pPr>
              <w:keepNext/>
              <w:keepLines/>
              <w:spacing w:after="0" w:line="240" w:lineRule="auto"/>
            </w:pPr>
            <w:r>
              <w:rPr>
                <w:sz w:val="18"/>
              </w:rPr>
              <w:t>3235</w:t>
            </w:r>
          </w:p>
        </w:tc>
        <w:tc>
          <w:tcPr>
            <w:tcW w:w="1860" w:type="dxa"/>
            <w:tcMar>
              <w:top w:w="0" w:type="dxa"/>
              <w:bottom w:w="0" w:type="dxa"/>
            </w:tcMar>
            <w:vAlign w:val="center"/>
          </w:tcPr>
          <w:p w:rsidR="00E4472F" w:rsidRDefault="00000000">
            <w:pPr>
              <w:keepNext/>
              <w:keepLines/>
              <w:spacing w:after="0" w:line="240" w:lineRule="auto"/>
              <w:jc w:val="right"/>
            </w:pPr>
            <w:r>
              <w:rPr>
                <w:sz w:val="18"/>
              </w:rPr>
              <w:t>131.523,39</w:t>
            </w:r>
          </w:p>
        </w:tc>
        <w:tc>
          <w:tcPr>
            <w:tcW w:w="1860" w:type="dxa"/>
            <w:tcMar>
              <w:top w:w="0" w:type="dxa"/>
              <w:bottom w:w="0" w:type="dxa"/>
            </w:tcMar>
            <w:vAlign w:val="center"/>
          </w:tcPr>
          <w:p w:rsidR="00E4472F" w:rsidRDefault="00000000">
            <w:pPr>
              <w:keepNext/>
              <w:keepLines/>
              <w:spacing w:after="0" w:line="240" w:lineRule="auto"/>
              <w:jc w:val="right"/>
            </w:pPr>
            <w:r>
              <w:rPr>
                <w:sz w:val="18"/>
              </w:rPr>
              <w:t>194.749,86</w:t>
            </w:r>
          </w:p>
        </w:tc>
        <w:tc>
          <w:tcPr>
            <w:tcW w:w="700" w:type="dxa"/>
            <w:tcMar>
              <w:top w:w="0" w:type="dxa"/>
              <w:bottom w:w="0" w:type="dxa"/>
            </w:tcMar>
            <w:vAlign w:val="center"/>
          </w:tcPr>
          <w:p w:rsidR="00E4472F" w:rsidRDefault="00000000">
            <w:pPr>
              <w:keepNext/>
              <w:keepLines/>
              <w:spacing w:after="0" w:line="240" w:lineRule="auto"/>
              <w:jc w:val="right"/>
            </w:pPr>
            <w:r>
              <w:rPr>
                <w:sz w:val="18"/>
              </w:rPr>
              <w:t>148,1</w:t>
            </w:r>
          </w:p>
        </w:tc>
      </w:tr>
    </w:tbl>
    <w:p w:rsidR="00E4472F" w:rsidRDefault="00E4472F">
      <w:pPr>
        <w:spacing w:after="0"/>
      </w:pPr>
    </w:p>
    <w:p w:rsidR="00E4472F" w:rsidRDefault="00000000">
      <w:pPr>
        <w:jc w:val="both"/>
      </w:pPr>
      <w:r>
        <w:t>Rashodi za zakupnine i najamnine u 2025. godini iznosili su 194.749,86 eura te su u odnosu na 2024. godinu, kada su iznosili 131.523,39 eura, povećani za 48,1 %. Najveći dio navedenih rashoda odnosi se na zakup i najam opreme u iznosu od 132.384,52 eura, pri čemu je rast rashoda rezultat uvođenja usluge najma centraliziranog sustava ispisa, temeljem koje je Bolnica u 2025. godini unajmila 355 pisača. Rashodi za zakupnine i najamnine za građevinske objekte iznosili su 17.732,02 eura te se odnose na najam prostora u Domu sportova - bazeni Mladosti za potrebe Zavoda za fizikalnu terapiju. Rashodi za licence iznosili su 11.033,11 eura, dok su rashodi za ostale zakupnine i najamnine iznosili 33.600,21 eura.</w:t>
      </w:r>
    </w:p>
    <w:p w:rsidR="00E4472F" w:rsidRDefault="00E4472F"/>
    <w:p w:rsidR="00E4472F" w:rsidRDefault="00000000">
      <w:pPr>
        <w:keepNext/>
        <w:spacing w:line="240" w:lineRule="auto"/>
        <w:jc w:val="center"/>
      </w:pPr>
      <w:r>
        <w:rPr>
          <w:sz w:val="28"/>
        </w:rPr>
        <w:t>Bilješka 61.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3236</w:t>
            </w:r>
          </w:p>
        </w:tc>
        <w:tc>
          <w:tcPr>
            <w:tcW w:w="3180" w:type="dxa"/>
            <w:tcMar>
              <w:top w:w="0" w:type="dxa"/>
              <w:bottom w:w="0" w:type="dxa"/>
            </w:tcMar>
            <w:vAlign w:val="center"/>
          </w:tcPr>
          <w:p w:rsidR="00E4472F" w:rsidRDefault="00000000">
            <w:pPr>
              <w:keepNext/>
              <w:keepLines/>
              <w:spacing w:after="0" w:line="240" w:lineRule="auto"/>
            </w:pPr>
            <w:r>
              <w:rPr>
                <w:sz w:val="18"/>
              </w:rPr>
              <w:t>Zdravstvene i veterinarske usluge</w:t>
            </w:r>
          </w:p>
        </w:tc>
        <w:tc>
          <w:tcPr>
            <w:tcW w:w="700" w:type="dxa"/>
            <w:tcMar>
              <w:top w:w="0" w:type="dxa"/>
              <w:bottom w:w="0" w:type="dxa"/>
            </w:tcMar>
            <w:vAlign w:val="center"/>
          </w:tcPr>
          <w:p w:rsidR="00E4472F" w:rsidRDefault="00000000">
            <w:pPr>
              <w:keepNext/>
              <w:keepLines/>
              <w:spacing w:after="0" w:line="240" w:lineRule="auto"/>
            </w:pPr>
            <w:r>
              <w:rPr>
                <w:sz w:val="18"/>
              </w:rPr>
              <w:t>3236</w:t>
            </w:r>
          </w:p>
        </w:tc>
        <w:tc>
          <w:tcPr>
            <w:tcW w:w="1860" w:type="dxa"/>
            <w:tcMar>
              <w:top w:w="0" w:type="dxa"/>
              <w:bottom w:w="0" w:type="dxa"/>
            </w:tcMar>
            <w:vAlign w:val="center"/>
          </w:tcPr>
          <w:p w:rsidR="00E4472F" w:rsidRDefault="00000000">
            <w:pPr>
              <w:keepNext/>
              <w:keepLines/>
              <w:spacing w:after="0" w:line="240" w:lineRule="auto"/>
              <w:jc w:val="right"/>
            </w:pPr>
            <w:r>
              <w:rPr>
                <w:sz w:val="18"/>
              </w:rPr>
              <w:t>838.476,09</w:t>
            </w:r>
          </w:p>
        </w:tc>
        <w:tc>
          <w:tcPr>
            <w:tcW w:w="1860" w:type="dxa"/>
            <w:tcMar>
              <w:top w:w="0" w:type="dxa"/>
              <w:bottom w:w="0" w:type="dxa"/>
            </w:tcMar>
            <w:vAlign w:val="center"/>
          </w:tcPr>
          <w:p w:rsidR="00E4472F" w:rsidRDefault="00000000">
            <w:pPr>
              <w:keepNext/>
              <w:keepLines/>
              <w:spacing w:after="0" w:line="240" w:lineRule="auto"/>
              <w:jc w:val="right"/>
            </w:pPr>
            <w:r>
              <w:rPr>
                <w:sz w:val="18"/>
              </w:rPr>
              <w:t>952.313,23</w:t>
            </w:r>
          </w:p>
        </w:tc>
        <w:tc>
          <w:tcPr>
            <w:tcW w:w="700" w:type="dxa"/>
            <w:tcMar>
              <w:top w:w="0" w:type="dxa"/>
              <w:bottom w:w="0" w:type="dxa"/>
            </w:tcMar>
            <w:vAlign w:val="center"/>
          </w:tcPr>
          <w:p w:rsidR="00E4472F" w:rsidRDefault="00000000">
            <w:pPr>
              <w:keepNext/>
              <w:keepLines/>
              <w:spacing w:after="0" w:line="240" w:lineRule="auto"/>
              <w:jc w:val="right"/>
            </w:pPr>
            <w:r>
              <w:rPr>
                <w:sz w:val="18"/>
              </w:rPr>
              <w:t>113,6</w:t>
            </w:r>
          </w:p>
        </w:tc>
      </w:tr>
    </w:tbl>
    <w:p w:rsidR="00E4472F" w:rsidRDefault="00E4472F">
      <w:pPr>
        <w:spacing w:after="0"/>
      </w:pPr>
    </w:p>
    <w:p w:rsidR="00E4472F" w:rsidRDefault="00000000">
      <w:pPr>
        <w:jc w:val="both"/>
      </w:pPr>
      <w:r>
        <w:t xml:space="preserve">Rashodi za zdravstvene i veterinarske usluge u 2025. godini iznosili su 952.313,23 eura te su u odnosu na 2024. godinu, kada su iznosili 838.476,09 eura, povećani za 13,6 %. Rashodi za </w:t>
      </w:r>
      <w:r>
        <w:lastRenderedPageBreak/>
        <w:t>zdravstvene i veterinarske usluge u 2025. godini najvećim su dijelom ostvareni po osnovi laboratorijskih usluga u iznosu od 893.019,28 eura. Rashodi za obvezne i preventivne zdravstvene preglede zaposlenika iznosili su 49.779,26 eura, dok su rashodi za ostale zdravstvene i veterinarske usluge iznosili 9.514,69 eura.</w:t>
      </w:r>
    </w:p>
    <w:p w:rsidR="00E4472F" w:rsidRDefault="00E4472F"/>
    <w:p w:rsidR="00E4472F" w:rsidRDefault="00000000">
      <w:pPr>
        <w:keepNext/>
        <w:spacing w:line="240" w:lineRule="auto"/>
        <w:jc w:val="center"/>
      </w:pPr>
      <w:r>
        <w:rPr>
          <w:sz w:val="28"/>
        </w:rPr>
        <w:t>Bilješka 62.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3237</w:t>
            </w:r>
          </w:p>
        </w:tc>
        <w:tc>
          <w:tcPr>
            <w:tcW w:w="3180" w:type="dxa"/>
            <w:tcMar>
              <w:top w:w="0" w:type="dxa"/>
              <w:bottom w:w="0" w:type="dxa"/>
            </w:tcMar>
            <w:vAlign w:val="center"/>
          </w:tcPr>
          <w:p w:rsidR="00E4472F" w:rsidRDefault="00000000">
            <w:pPr>
              <w:keepNext/>
              <w:keepLines/>
              <w:spacing w:after="0" w:line="240" w:lineRule="auto"/>
            </w:pPr>
            <w:r>
              <w:rPr>
                <w:sz w:val="18"/>
              </w:rPr>
              <w:t>Intelektualne i osobne usluge</w:t>
            </w:r>
          </w:p>
        </w:tc>
        <w:tc>
          <w:tcPr>
            <w:tcW w:w="700" w:type="dxa"/>
            <w:tcMar>
              <w:top w:w="0" w:type="dxa"/>
              <w:bottom w:w="0" w:type="dxa"/>
            </w:tcMar>
            <w:vAlign w:val="center"/>
          </w:tcPr>
          <w:p w:rsidR="00E4472F" w:rsidRDefault="00000000">
            <w:pPr>
              <w:keepNext/>
              <w:keepLines/>
              <w:spacing w:after="0" w:line="240" w:lineRule="auto"/>
            </w:pPr>
            <w:r>
              <w:rPr>
                <w:sz w:val="18"/>
              </w:rPr>
              <w:t>3237</w:t>
            </w:r>
          </w:p>
        </w:tc>
        <w:tc>
          <w:tcPr>
            <w:tcW w:w="1860" w:type="dxa"/>
            <w:tcMar>
              <w:top w:w="0" w:type="dxa"/>
              <w:bottom w:w="0" w:type="dxa"/>
            </w:tcMar>
            <w:vAlign w:val="center"/>
          </w:tcPr>
          <w:p w:rsidR="00E4472F" w:rsidRDefault="00000000">
            <w:pPr>
              <w:keepNext/>
              <w:keepLines/>
              <w:spacing w:after="0" w:line="240" w:lineRule="auto"/>
              <w:jc w:val="right"/>
            </w:pPr>
            <w:r>
              <w:rPr>
                <w:sz w:val="18"/>
              </w:rPr>
              <w:t>657.476,74</w:t>
            </w:r>
          </w:p>
        </w:tc>
        <w:tc>
          <w:tcPr>
            <w:tcW w:w="1860" w:type="dxa"/>
            <w:tcMar>
              <w:top w:w="0" w:type="dxa"/>
              <w:bottom w:w="0" w:type="dxa"/>
            </w:tcMar>
            <w:vAlign w:val="center"/>
          </w:tcPr>
          <w:p w:rsidR="00E4472F" w:rsidRDefault="00000000">
            <w:pPr>
              <w:keepNext/>
              <w:keepLines/>
              <w:spacing w:after="0" w:line="240" w:lineRule="auto"/>
              <w:jc w:val="right"/>
            </w:pPr>
            <w:r>
              <w:rPr>
                <w:sz w:val="18"/>
              </w:rPr>
              <w:t>844.746,81</w:t>
            </w:r>
          </w:p>
        </w:tc>
        <w:tc>
          <w:tcPr>
            <w:tcW w:w="700" w:type="dxa"/>
            <w:tcMar>
              <w:top w:w="0" w:type="dxa"/>
              <w:bottom w:w="0" w:type="dxa"/>
            </w:tcMar>
            <w:vAlign w:val="center"/>
          </w:tcPr>
          <w:p w:rsidR="00E4472F" w:rsidRDefault="00000000">
            <w:pPr>
              <w:keepNext/>
              <w:keepLines/>
              <w:spacing w:after="0" w:line="240" w:lineRule="auto"/>
              <w:jc w:val="right"/>
            </w:pPr>
            <w:r>
              <w:rPr>
                <w:sz w:val="18"/>
              </w:rPr>
              <w:t>128,5</w:t>
            </w:r>
          </w:p>
        </w:tc>
      </w:tr>
    </w:tbl>
    <w:p w:rsidR="00E4472F" w:rsidRDefault="00E4472F">
      <w:pPr>
        <w:spacing w:after="0"/>
      </w:pPr>
    </w:p>
    <w:p w:rsidR="00E4472F" w:rsidRDefault="00000000">
      <w:pPr>
        <w:jc w:val="both"/>
      </w:pPr>
      <w:r>
        <w:t>Rashodi za intelektualne i osobne usluge u 2025. godini iznosili su 844.746,81 eura, što predstavlja rast od 28,5 % u odnosu na 2024. godinu, kada su iznosili 657.476,81 eura. Rashodi za intelektualne i osobne usluge u 2025. godini najvećim su dijelom ostvareni po osnovi ostalih intelektualnih usluga vanjskih specijalizanata u iznosu od 562.458,70 eura te ostalih intelektualnih usluga u iznosu od 157.852,41 eura. Rashodi po osnovi ugovora o djelu iznosili su 46.713,24 eura, dok su rashodi za usluge odvjetnika i pravnog savjetovanja iznosili 54.457,52 eura. Rashodi za usluge agencija i studentskog servisa (prijevodi, prijepisi i slične usluge) iznosili su 21.115,08 eura. Rashodi za usluge vještačenja iznosili su ukupno 2.149,86 eura, a odnose se na postupke prisilne i dobrovoljne naplate te ostale povezane usluge. Povećanje rashoda najvećim je dijelom posljedica većeg angažmana vanjskih specijalizanata te povećanog opsega ostalih intelektualnih usluga.</w:t>
      </w:r>
    </w:p>
    <w:p w:rsidR="00E4472F" w:rsidRDefault="00E4472F"/>
    <w:p w:rsidR="00E4472F" w:rsidRDefault="00000000">
      <w:pPr>
        <w:keepNext/>
        <w:spacing w:line="240" w:lineRule="auto"/>
        <w:jc w:val="center"/>
      </w:pPr>
      <w:r>
        <w:rPr>
          <w:sz w:val="28"/>
        </w:rPr>
        <w:t>Bilješka 63.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3238</w:t>
            </w:r>
          </w:p>
        </w:tc>
        <w:tc>
          <w:tcPr>
            <w:tcW w:w="3180" w:type="dxa"/>
            <w:tcMar>
              <w:top w:w="0" w:type="dxa"/>
              <w:bottom w:w="0" w:type="dxa"/>
            </w:tcMar>
            <w:vAlign w:val="center"/>
          </w:tcPr>
          <w:p w:rsidR="00E4472F" w:rsidRDefault="00000000">
            <w:pPr>
              <w:keepNext/>
              <w:keepLines/>
              <w:spacing w:after="0" w:line="240" w:lineRule="auto"/>
            </w:pPr>
            <w:r>
              <w:rPr>
                <w:sz w:val="18"/>
              </w:rPr>
              <w:t>Računalne usluge</w:t>
            </w:r>
          </w:p>
        </w:tc>
        <w:tc>
          <w:tcPr>
            <w:tcW w:w="700" w:type="dxa"/>
            <w:tcMar>
              <w:top w:w="0" w:type="dxa"/>
              <w:bottom w:w="0" w:type="dxa"/>
            </w:tcMar>
            <w:vAlign w:val="center"/>
          </w:tcPr>
          <w:p w:rsidR="00E4472F" w:rsidRDefault="00000000">
            <w:pPr>
              <w:keepNext/>
              <w:keepLines/>
              <w:spacing w:after="0" w:line="240" w:lineRule="auto"/>
            </w:pPr>
            <w:r>
              <w:rPr>
                <w:sz w:val="18"/>
              </w:rPr>
              <w:t>3238</w:t>
            </w:r>
          </w:p>
        </w:tc>
        <w:tc>
          <w:tcPr>
            <w:tcW w:w="1860" w:type="dxa"/>
            <w:tcMar>
              <w:top w:w="0" w:type="dxa"/>
              <w:bottom w:w="0" w:type="dxa"/>
            </w:tcMar>
            <w:vAlign w:val="center"/>
          </w:tcPr>
          <w:p w:rsidR="00E4472F" w:rsidRDefault="00000000">
            <w:pPr>
              <w:keepNext/>
              <w:keepLines/>
              <w:spacing w:after="0" w:line="240" w:lineRule="auto"/>
              <w:jc w:val="right"/>
            </w:pPr>
            <w:r>
              <w:rPr>
                <w:sz w:val="18"/>
              </w:rPr>
              <w:t>250.917,08</w:t>
            </w:r>
          </w:p>
        </w:tc>
        <w:tc>
          <w:tcPr>
            <w:tcW w:w="1860" w:type="dxa"/>
            <w:tcMar>
              <w:top w:w="0" w:type="dxa"/>
              <w:bottom w:w="0" w:type="dxa"/>
            </w:tcMar>
            <w:vAlign w:val="center"/>
          </w:tcPr>
          <w:p w:rsidR="00E4472F" w:rsidRDefault="00000000">
            <w:pPr>
              <w:keepNext/>
              <w:keepLines/>
              <w:spacing w:after="0" w:line="240" w:lineRule="auto"/>
              <w:jc w:val="right"/>
            </w:pPr>
            <w:r>
              <w:rPr>
                <w:sz w:val="18"/>
              </w:rPr>
              <w:t>269.536,89</w:t>
            </w:r>
          </w:p>
        </w:tc>
        <w:tc>
          <w:tcPr>
            <w:tcW w:w="700" w:type="dxa"/>
            <w:tcMar>
              <w:top w:w="0" w:type="dxa"/>
              <w:bottom w:w="0" w:type="dxa"/>
            </w:tcMar>
            <w:vAlign w:val="center"/>
          </w:tcPr>
          <w:p w:rsidR="00E4472F" w:rsidRDefault="00000000">
            <w:pPr>
              <w:keepNext/>
              <w:keepLines/>
              <w:spacing w:after="0" w:line="240" w:lineRule="auto"/>
              <w:jc w:val="right"/>
            </w:pPr>
            <w:r>
              <w:rPr>
                <w:sz w:val="18"/>
              </w:rPr>
              <w:t>107,4</w:t>
            </w:r>
          </w:p>
        </w:tc>
      </w:tr>
    </w:tbl>
    <w:p w:rsidR="00E4472F" w:rsidRDefault="00E4472F">
      <w:pPr>
        <w:spacing w:after="0"/>
      </w:pPr>
    </w:p>
    <w:p w:rsidR="00E4472F" w:rsidRDefault="00000000">
      <w:pPr>
        <w:jc w:val="both"/>
      </w:pPr>
      <w:r>
        <w:t>Rashodi za računalne usluge u 2025. godini iznosili su 269.536,86 eura, što predstavlja rast od 7,4 % u odnosu na 2024. godinu, kada su iznosili 250.917,08 eura. Povećanje navedenih rashoda najvećim je dijelom rezultat nužnih nadogradnji te povećanja cijena održavanja postojećih informatičkih sustava.</w:t>
      </w:r>
    </w:p>
    <w:p w:rsidR="00E4472F" w:rsidRDefault="00E4472F"/>
    <w:p w:rsidR="00E4472F" w:rsidRDefault="00000000">
      <w:pPr>
        <w:keepNext/>
        <w:spacing w:line="240" w:lineRule="auto"/>
        <w:jc w:val="center"/>
      </w:pPr>
      <w:r>
        <w:rPr>
          <w:sz w:val="28"/>
        </w:rPr>
        <w:lastRenderedPageBreak/>
        <w:t>Bilješka 64.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3239</w:t>
            </w:r>
          </w:p>
        </w:tc>
        <w:tc>
          <w:tcPr>
            <w:tcW w:w="3180" w:type="dxa"/>
            <w:tcMar>
              <w:top w:w="0" w:type="dxa"/>
              <w:bottom w:w="0" w:type="dxa"/>
            </w:tcMar>
            <w:vAlign w:val="center"/>
          </w:tcPr>
          <w:p w:rsidR="00E4472F" w:rsidRDefault="00000000">
            <w:pPr>
              <w:keepNext/>
              <w:keepLines/>
              <w:spacing w:after="0" w:line="240" w:lineRule="auto"/>
            </w:pPr>
            <w:r>
              <w:rPr>
                <w:sz w:val="18"/>
              </w:rPr>
              <w:t>Ostale usluge</w:t>
            </w:r>
          </w:p>
        </w:tc>
        <w:tc>
          <w:tcPr>
            <w:tcW w:w="700" w:type="dxa"/>
            <w:tcMar>
              <w:top w:w="0" w:type="dxa"/>
              <w:bottom w:w="0" w:type="dxa"/>
            </w:tcMar>
            <w:vAlign w:val="center"/>
          </w:tcPr>
          <w:p w:rsidR="00E4472F" w:rsidRDefault="00000000">
            <w:pPr>
              <w:keepNext/>
              <w:keepLines/>
              <w:spacing w:after="0" w:line="240" w:lineRule="auto"/>
            </w:pPr>
            <w:r>
              <w:rPr>
                <w:sz w:val="18"/>
              </w:rPr>
              <w:t>3239</w:t>
            </w:r>
          </w:p>
        </w:tc>
        <w:tc>
          <w:tcPr>
            <w:tcW w:w="1860" w:type="dxa"/>
            <w:tcMar>
              <w:top w:w="0" w:type="dxa"/>
              <w:bottom w:w="0" w:type="dxa"/>
            </w:tcMar>
            <w:vAlign w:val="center"/>
          </w:tcPr>
          <w:p w:rsidR="00E4472F" w:rsidRDefault="00000000">
            <w:pPr>
              <w:keepNext/>
              <w:keepLines/>
              <w:spacing w:after="0" w:line="240" w:lineRule="auto"/>
              <w:jc w:val="right"/>
            </w:pPr>
            <w:r>
              <w:rPr>
                <w:sz w:val="18"/>
              </w:rPr>
              <w:t>1.026.973,07</w:t>
            </w:r>
          </w:p>
        </w:tc>
        <w:tc>
          <w:tcPr>
            <w:tcW w:w="1860" w:type="dxa"/>
            <w:tcMar>
              <w:top w:w="0" w:type="dxa"/>
              <w:bottom w:w="0" w:type="dxa"/>
            </w:tcMar>
            <w:vAlign w:val="center"/>
          </w:tcPr>
          <w:p w:rsidR="00E4472F" w:rsidRDefault="00000000">
            <w:pPr>
              <w:keepNext/>
              <w:keepLines/>
              <w:spacing w:after="0" w:line="240" w:lineRule="auto"/>
              <w:jc w:val="right"/>
            </w:pPr>
            <w:r>
              <w:rPr>
                <w:sz w:val="18"/>
              </w:rPr>
              <w:t>998.215,86</w:t>
            </w:r>
          </w:p>
        </w:tc>
        <w:tc>
          <w:tcPr>
            <w:tcW w:w="700" w:type="dxa"/>
            <w:tcMar>
              <w:top w:w="0" w:type="dxa"/>
              <w:bottom w:w="0" w:type="dxa"/>
            </w:tcMar>
            <w:vAlign w:val="center"/>
          </w:tcPr>
          <w:p w:rsidR="00E4472F" w:rsidRDefault="00000000">
            <w:pPr>
              <w:keepNext/>
              <w:keepLines/>
              <w:spacing w:after="0" w:line="240" w:lineRule="auto"/>
              <w:jc w:val="right"/>
            </w:pPr>
            <w:r>
              <w:rPr>
                <w:sz w:val="18"/>
              </w:rPr>
              <w:t>97,2</w:t>
            </w:r>
          </w:p>
        </w:tc>
      </w:tr>
    </w:tbl>
    <w:p w:rsidR="00E4472F" w:rsidRDefault="00E4472F">
      <w:pPr>
        <w:spacing w:after="0"/>
      </w:pPr>
    </w:p>
    <w:p w:rsidR="00E4472F" w:rsidRDefault="00000000">
      <w:pPr>
        <w:jc w:val="both"/>
      </w:pPr>
      <w:r>
        <w:t>Rashodi za ostale usluge u 2025. godini iznosili su 998.215,86 eura te su u odnosu na isto razdoblje prethodne godine smanjeni za 2,8 %, prvenstveno kao rezultat racionalizacije opsega usluga čišćenja i stabilizacije ugovorenih cijena. Rashodi za ostale usluge u 2025. godini najvećim su dijelom ostvareni po osnovi usluga čišćenja, pranja i sličnih usluga u iznosu od 877.945,90 eura. Rashodi za usluge čuvanja imovine i osoba iznosili su 61.604,46 eura, dok su rashodi za ostale nespomenute usluge iznosili 49.212,43 eura. Rashodi za grafičke i tiskarske usluge, usluge kopiranja i uvezivanja iznosili su 9.202,52 eura, dok su rashodi za usluge pri registraciji prijevoznih sredstava iznosili 250,55 eura.</w:t>
      </w:r>
    </w:p>
    <w:p w:rsidR="00E4472F" w:rsidRDefault="00E4472F"/>
    <w:p w:rsidR="00E4472F" w:rsidRDefault="00000000">
      <w:pPr>
        <w:keepNext/>
        <w:spacing w:line="240" w:lineRule="auto"/>
        <w:jc w:val="center"/>
      </w:pPr>
      <w:r>
        <w:rPr>
          <w:sz w:val="28"/>
        </w:rPr>
        <w:t>Bilješka 65.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325</w:t>
            </w:r>
          </w:p>
        </w:tc>
        <w:tc>
          <w:tcPr>
            <w:tcW w:w="3180" w:type="dxa"/>
            <w:tcMar>
              <w:top w:w="0" w:type="dxa"/>
              <w:bottom w:w="0" w:type="dxa"/>
            </w:tcMar>
            <w:vAlign w:val="center"/>
          </w:tcPr>
          <w:p w:rsidR="00E4472F" w:rsidRDefault="00000000">
            <w:pPr>
              <w:keepNext/>
              <w:keepLines/>
              <w:spacing w:after="0" w:line="240" w:lineRule="auto"/>
            </w:pPr>
            <w:r>
              <w:rPr>
                <w:sz w:val="18"/>
              </w:rPr>
              <w:t>Rashodi lijekova i potrošnog medicinskog materijala kod zdravstvenih ustanova (šifre 3251 do 3254)</w:t>
            </w:r>
          </w:p>
        </w:tc>
        <w:tc>
          <w:tcPr>
            <w:tcW w:w="700" w:type="dxa"/>
            <w:tcMar>
              <w:top w:w="0" w:type="dxa"/>
              <w:bottom w:w="0" w:type="dxa"/>
            </w:tcMar>
            <w:vAlign w:val="center"/>
          </w:tcPr>
          <w:p w:rsidR="00E4472F" w:rsidRDefault="00000000">
            <w:pPr>
              <w:keepNext/>
              <w:keepLines/>
              <w:spacing w:after="0" w:line="240" w:lineRule="auto"/>
            </w:pPr>
            <w:r>
              <w:rPr>
                <w:sz w:val="18"/>
              </w:rPr>
              <w:t>325</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29.842.245,60</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pPr>
        <w:jc w:val="both"/>
      </w:pPr>
      <w:r>
        <w:t>U 2025. godini rashodi lijekova i potrošnog medicinskog materijala kod zdravstvenih ustanova iznose 29.842.245,60 EUR, dok u 2024. godini po toj osnovi nisu bili iskazani. Razlog navedenom odstupanju proizlazi iz primjene izmijenjenog Pravilnika o proračunskom računovodstvu, koji se primjenjuje od 1. siječnja 2025. godine, a kojim je propisan novi način evidentiranja lijekova i potrošnog medicinskog materijala putem konta zaliha.</w:t>
      </w:r>
    </w:p>
    <w:p w:rsidR="00E4472F" w:rsidRDefault="00000000">
      <w:pPr>
        <w:jc w:val="both"/>
      </w:pPr>
      <w:r>
        <w:t> </w:t>
      </w:r>
    </w:p>
    <w:p w:rsidR="00E4472F" w:rsidRDefault="00E4472F"/>
    <w:p w:rsidR="00E4472F" w:rsidRDefault="00000000">
      <w:pPr>
        <w:keepNext/>
        <w:spacing w:line="240" w:lineRule="auto"/>
        <w:jc w:val="center"/>
      </w:pPr>
      <w:r>
        <w:rPr>
          <w:sz w:val="28"/>
        </w:rPr>
        <w:t>Bilješka 66.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3251</w:t>
            </w:r>
          </w:p>
        </w:tc>
        <w:tc>
          <w:tcPr>
            <w:tcW w:w="3180" w:type="dxa"/>
            <w:tcMar>
              <w:top w:w="0" w:type="dxa"/>
              <w:bottom w:w="0" w:type="dxa"/>
            </w:tcMar>
            <w:vAlign w:val="center"/>
          </w:tcPr>
          <w:p w:rsidR="00E4472F" w:rsidRDefault="00000000">
            <w:pPr>
              <w:keepNext/>
              <w:keepLines/>
              <w:spacing w:after="0" w:line="240" w:lineRule="auto"/>
            </w:pPr>
            <w:r>
              <w:rPr>
                <w:sz w:val="18"/>
              </w:rPr>
              <w:t>Rashodi po osnovi utroška lijekova i potrošnog medicinskog materijala</w:t>
            </w:r>
          </w:p>
        </w:tc>
        <w:tc>
          <w:tcPr>
            <w:tcW w:w="700" w:type="dxa"/>
            <w:tcMar>
              <w:top w:w="0" w:type="dxa"/>
              <w:bottom w:w="0" w:type="dxa"/>
            </w:tcMar>
            <w:vAlign w:val="center"/>
          </w:tcPr>
          <w:p w:rsidR="00E4472F" w:rsidRDefault="00000000">
            <w:pPr>
              <w:keepNext/>
              <w:keepLines/>
              <w:spacing w:after="0" w:line="240" w:lineRule="auto"/>
            </w:pPr>
            <w:r>
              <w:rPr>
                <w:sz w:val="18"/>
              </w:rPr>
              <w:t>3251</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29.470.760,79</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pPr>
        <w:jc w:val="both"/>
      </w:pPr>
      <w:r>
        <w:t>Rashodi po osnovi utroška lijekova i potrošnog medicinskog materijala u 2025. godini iznosili su ukupno 29.470.760,79 eura, od čega se rashodi za lijekove odnose na iznos od 11.857.543,13 eura, rashodi za posebno skupe lijekove na iznos od 3.157.993,55 eura, dok su rashodi za potrošni i ugradbeni medicinski materijal iznosili 14.455.224,11 eura.</w:t>
      </w:r>
    </w:p>
    <w:p w:rsidR="00E4472F" w:rsidRDefault="00E4472F"/>
    <w:p w:rsidR="00E4472F" w:rsidRDefault="00000000">
      <w:pPr>
        <w:keepNext/>
        <w:spacing w:line="240" w:lineRule="auto"/>
        <w:jc w:val="center"/>
      </w:pPr>
      <w:r>
        <w:rPr>
          <w:sz w:val="28"/>
        </w:rPr>
        <w:lastRenderedPageBreak/>
        <w:t>Bilješka 67.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3252</w:t>
            </w:r>
          </w:p>
        </w:tc>
        <w:tc>
          <w:tcPr>
            <w:tcW w:w="3180" w:type="dxa"/>
            <w:tcMar>
              <w:top w:w="0" w:type="dxa"/>
              <w:bottom w:w="0" w:type="dxa"/>
            </w:tcMar>
            <w:vAlign w:val="center"/>
          </w:tcPr>
          <w:p w:rsidR="00E4472F" w:rsidRDefault="00000000">
            <w:pPr>
              <w:keepNext/>
              <w:keepLines/>
              <w:spacing w:after="0" w:line="240" w:lineRule="auto"/>
            </w:pPr>
            <w:r>
              <w:rPr>
                <w:sz w:val="18"/>
              </w:rPr>
              <w:t>Rashodi po osnovi otpisa lijekova i potrošnog medicinskog materijala</w:t>
            </w:r>
          </w:p>
        </w:tc>
        <w:tc>
          <w:tcPr>
            <w:tcW w:w="700" w:type="dxa"/>
            <w:tcMar>
              <w:top w:w="0" w:type="dxa"/>
              <w:bottom w:w="0" w:type="dxa"/>
            </w:tcMar>
            <w:vAlign w:val="center"/>
          </w:tcPr>
          <w:p w:rsidR="00E4472F" w:rsidRDefault="00000000">
            <w:pPr>
              <w:keepNext/>
              <w:keepLines/>
              <w:spacing w:after="0" w:line="240" w:lineRule="auto"/>
            </w:pPr>
            <w:r>
              <w:rPr>
                <w:sz w:val="18"/>
              </w:rPr>
              <w:t>3252</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4.768,30</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pPr>
        <w:jc w:val="both"/>
      </w:pPr>
      <w:r>
        <w:t xml:space="preserve">U 2025. godini Bolnica je evidentirala rashode po osnovi otpisa lijekova u iznosu od 4.768,30 eura. Navedeni rashodi odnose se na lijekove koji, zbog objektivnih okolnosti u procesu liječenja (uključujući prekid terapije uslijed smrtnog ishoda pacijenta), nisu utrošeni za predviđenu indikaciju, a nema drugog pacijenta za kojeg bi se lijek mogao utrošiti, kao i zbog manipulacije </w:t>
      </w:r>
      <w:proofErr w:type="spellStart"/>
      <w:r>
        <w:t>ampuliranim</w:t>
      </w:r>
      <w:proofErr w:type="spellEnd"/>
      <w:r>
        <w:t xml:space="preserve"> lijekovima, isti su otpisani sukladno važećim internim procedurama. </w:t>
      </w:r>
    </w:p>
    <w:p w:rsidR="00E4472F" w:rsidRDefault="00E4472F"/>
    <w:p w:rsidR="00E4472F" w:rsidRDefault="00000000">
      <w:pPr>
        <w:keepNext/>
        <w:spacing w:line="240" w:lineRule="auto"/>
        <w:jc w:val="center"/>
      </w:pPr>
      <w:r>
        <w:rPr>
          <w:sz w:val="28"/>
        </w:rPr>
        <w:t>Bilješka 68.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3253</w:t>
            </w:r>
          </w:p>
        </w:tc>
        <w:tc>
          <w:tcPr>
            <w:tcW w:w="3180" w:type="dxa"/>
            <w:tcMar>
              <w:top w:w="0" w:type="dxa"/>
              <w:bottom w:w="0" w:type="dxa"/>
            </w:tcMar>
            <w:vAlign w:val="center"/>
          </w:tcPr>
          <w:p w:rsidR="00E4472F" w:rsidRDefault="00000000">
            <w:pPr>
              <w:keepNext/>
              <w:keepLines/>
              <w:spacing w:after="0" w:line="240" w:lineRule="auto"/>
            </w:pPr>
            <w:r>
              <w:rPr>
                <w:sz w:val="18"/>
              </w:rPr>
              <w:t>Rashodi po osnovi donacije lijekova i potrošnog medicinskog materijala</w:t>
            </w:r>
          </w:p>
        </w:tc>
        <w:tc>
          <w:tcPr>
            <w:tcW w:w="700" w:type="dxa"/>
            <w:tcMar>
              <w:top w:w="0" w:type="dxa"/>
              <w:bottom w:w="0" w:type="dxa"/>
            </w:tcMar>
            <w:vAlign w:val="center"/>
          </w:tcPr>
          <w:p w:rsidR="00E4472F" w:rsidRDefault="00000000">
            <w:pPr>
              <w:keepNext/>
              <w:keepLines/>
              <w:spacing w:after="0" w:line="240" w:lineRule="auto"/>
            </w:pPr>
            <w:r>
              <w:rPr>
                <w:sz w:val="18"/>
              </w:rPr>
              <w:t>3253</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366.716,51</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pPr>
        <w:jc w:val="both"/>
      </w:pPr>
      <w:r>
        <w:t xml:space="preserve">Rashodi po osnovi donacija lijekova i potrošnog medicinskog materijala u 2025. godini iznosili su 366.716,51 eura. Navedeni rashodi u najvećem se dijelu odnose na donacije prve terapije inovativnih lijekova, koje nositelji odobrenja za stavljanje lijeka u promet, odnosno </w:t>
      </w:r>
      <w:proofErr w:type="spellStart"/>
      <w:r>
        <w:t>veledrogerije</w:t>
      </w:r>
      <w:proofErr w:type="spellEnd"/>
      <w:r>
        <w:t>, osiguravaju zdravstvenim ustanovama temeljem ugovornih obveza s HZZO-om. Donacije prve terapije omogućuju pravodobno započinjanje liječenja pacijenata prije uspostave redovitog financiranja lijeka kroz sustav obveznog zdravstvenog osiguranja, sukladno važećim propisima i ugovornom okviru.</w:t>
      </w:r>
    </w:p>
    <w:p w:rsidR="00E4472F" w:rsidRDefault="00E4472F"/>
    <w:p w:rsidR="00E4472F" w:rsidRDefault="00000000">
      <w:pPr>
        <w:keepNext/>
        <w:spacing w:line="240" w:lineRule="auto"/>
        <w:jc w:val="center"/>
      </w:pPr>
      <w:r>
        <w:rPr>
          <w:sz w:val="28"/>
        </w:rPr>
        <w:t>Bilješka 69.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329</w:t>
            </w:r>
          </w:p>
        </w:tc>
        <w:tc>
          <w:tcPr>
            <w:tcW w:w="3180" w:type="dxa"/>
            <w:tcMar>
              <w:top w:w="0" w:type="dxa"/>
              <w:bottom w:w="0" w:type="dxa"/>
            </w:tcMar>
            <w:vAlign w:val="center"/>
          </w:tcPr>
          <w:p w:rsidR="00E4472F" w:rsidRDefault="00000000">
            <w:pPr>
              <w:keepNext/>
              <w:keepLines/>
              <w:spacing w:after="0" w:line="240" w:lineRule="auto"/>
            </w:pPr>
            <w:r>
              <w:rPr>
                <w:sz w:val="18"/>
              </w:rPr>
              <w:t>Ostali nespomenuti rashodi poslovanja (šifre 3291 do 3299)</w:t>
            </w:r>
          </w:p>
        </w:tc>
        <w:tc>
          <w:tcPr>
            <w:tcW w:w="700" w:type="dxa"/>
            <w:tcMar>
              <w:top w:w="0" w:type="dxa"/>
              <w:bottom w:w="0" w:type="dxa"/>
            </w:tcMar>
            <w:vAlign w:val="center"/>
          </w:tcPr>
          <w:p w:rsidR="00E4472F" w:rsidRDefault="00000000">
            <w:pPr>
              <w:keepNext/>
              <w:keepLines/>
              <w:spacing w:after="0" w:line="240" w:lineRule="auto"/>
            </w:pPr>
            <w:r>
              <w:rPr>
                <w:sz w:val="18"/>
              </w:rPr>
              <w:t>329</w:t>
            </w:r>
          </w:p>
        </w:tc>
        <w:tc>
          <w:tcPr>
            <w:tcW w:w="1860" w:type="dxa"/>
            <w:tcMar>
              <w:top w:w="0" w:type="dxa"/>
              <w:bottom w:w="0" w:type="dxa"/>
            </w:tcMar>
            <w:vAlign w:val="center"/>
          </w:tcPr>
          <w:p w:rsidR="00E4472F" w:rsidRDefault="00000000">
            <w:pPr>
              <w:keepNext/>
              <w:keepLines/>
              <w:spacing w:after="0" w:line="240" w:lineRule="auto"/>
              <w:jc w:val="right"/>
            </w:pPr>
            <w:r>
              <w:rPr>
                <w:sz w:val="18"/>
              </w:rPr>
              <w:t>877.877,96</w:t>
            </w:r>
          </w:p>
        </w:tc>
        <w:tc>
          <w:tcPr>
            <w:tcW w:w="1860" w:type="dxa"/>
            <w:tcMar>
              <w:top w:w="0" w:type="dxa"/>
              <w:bottom w:w="0" w:type="dxa"/>
            </w:tcMar>
            <w:vAlign w:val="center"/>
          </w:tcPr>
          <w:p w:rsidR="00E4472F" w:rsidRDefault="00000000">
            <w:pPr>
              <w:keepNext/>
              <w:keepLines/>
              <w:spacing w:after="0" w:line="240" w:lineRule="auto"/>
              <w:jc w:val="right"/>
            </w:pPr>
            <w:r>
              <w:rPr>
                <w:sz w:val="18"/>
              </w:rPr>
              <w:t>620.013,29</w:t>
            </w:r>
          </w:p>
        </w:tc>
        <w:tc>
          <w:tcPr>
            <w:tcW w:w="700" w:type="dxa"/>
            <w:tcMar>
              <w:top w:w="0" w:type="dxa"/>
              <w:bottom w:w="0" w:type="dxa"/>
            </w:tcMar>
            <w:vAlign w:val="center"/>
          </w:tcPr>
          <w:p w:rsidR="00E4472F" w:rsidRDefault="00000000">
            <w:pPr>
              <w:keepNext/>
              <w:keepLines/>
              <w:spacing w:after="0" w:line="240" w:lineRule="auto"/>
              <w:jc w:val="right"/>
            </w:pPr>
            <w:r>
              <w:rPr>
                <w:sz w:val="18"/>
              </w:rPr>
              <w:t>70,6</w:t>
            </w:r>
          </w:p>
        </w:tc>
      </w:tr>
    </w:tbl>
    <w:p w:rsidR="00E4472F" w:rsidRDefault="00E4472F">
      <w:pPr>
        <w:spacing w:after="0"/>
      </w:pPr>
    </w:p>
    <w:p w:rsidR="00E4472F" w:rsidRDefault="00000000">
      <w:pPr>
        <w:jc w:val="both"/>
      </w:pPr>
      <w:r>
        <w:t>Ostali nespomenuti rashodi poslovanja u 2025. godini iznosili su 620.013,29 eura, što predstavlja smanjenje od 29,4 % u odnosu na 2024. godinu, kada su iznosili 877.877,96 eura. Smanjenje navedenih rashoda najvećim je dijelom posljedica smanjenih troškova sudskih postupaka.</w:t>
      </w:r>
    </w:p>
    <w:p w:rsidR="00E4472F" w:rsidRDefault="00E4472F"/>
    <w:p w:rsidR="00E4472F" w:rsidRDefault="00000000">
      <w:pPr>
        <w:keepNext/>
        <w:spacing w:line="240" w:lineRule="auto"/>
        <w:jc w:val="center"/>
      </w:pPr>
      <w:r>
        <w:rPr>
          <w:sz w:val="28"/>
        </w:rPr>
        <w:lastRenderedPageBreak/>
        <w:t>Bilješka 70.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3291</w:t>
            </w:r>
          </w:p>
        </w:tc>
        <w:tc>
          <w:tcPr>
            <w:tcW w:w="3180" w:type="dxa"/>
            <w:tcMar>
              <w:top w:w="0" w:type="dxa"/>
              <w:bottom w:w="0" w:type="dxa"/>
            </w:tcMar>
            <w:vAlign w:val="center"/>
          </w:tcPr>
          <w:p w:rsidR="00E4472F" w:rsidRDefault="00000000">
            <w:pPr>
              <w:keepNext/>
              <w:keepLines/>
              <w:spacing w:after="0" w:line="240" w:lineRule="auto"/>
            </w:pPr>
            <w:r>
              <w:rPr>
                <w:sz w:val="18"/>
              </w:rPr>
              <w:t>Naknade za rad predstavničkih i izvršnih tijela, povjerenstava i slično</w:t>
            </w:r>
          </w:p>
        </w:tc>
        <w:tc>
          <w:tcPr>
            <w:tcW w:w="700" w:type="dxa"/>
            <w:tcMar>
              <w:top w:w="0" w:type="dxa"/>
              <w:bottom w:w="0" w:type="dxa"/>
            </w:tcMar>
            <w:vAlign w:val="center"/>
          </w:tcPr>
          <w:p w:rsidR="00E4472F" w:rsidRDefault="00000000">
            <w:pPr>
              <w:keepNext/>
              <w:keepLines/>
              <w:spacing w:after="0" w:line="240" w:lineRule="auto"/>
            </w:pPr>
            <w:r>
              <w:rPr>
                <w:sz w:val="18"/>
              </w:rPr>
              <w:t>3291</w:t>
            </w:r>
          </w:p>
        </w:tc>
        <w:tc>
          <w:tcPr>
            <w:tcW w:w="1860" w:type="dxa"/>
            <w:tcMar>
              <w:top w:w="0" w:type="dxa"/>
              <w:bottom w:w="0" w:type="dxa"/>
            </w:tcMar>
            <w:vAlign w:val="center"/>
          </w:tcPr>
          <w:p w:rsidR="00E4472F" w:rsidRDefault="00000000">
            <w:pPr>
              <w:keepNext/>
              <w:keepLines/>
              <w:spacing w:after="0" w:line="240" w:lineRule="auto"/>
              <w:jc w:val="right"/>
            </w:pPr>
            <w:r>
              <w:rPr>
                <w:sz w:val="18"/>
              </w:rPr>
              <w:t>10.997,81</w:t>
            </w:r>
          </w:p>
        </w:tc>
        <w:tc>
          <w:tcPr>
            <w:tcW w:w="1860" w:type="dxa"/>
            <w:tcMar>
              <w:top w:w="0" w:type="dxa"/>
              <w:bottom w:w="0" w:type="dxa"/>
            </w:tcMar>
            <w:vAlign w:val="center"/>
          </w:tcPr>
          <w:p w:rsidR="00E4472F" w:rsidRDefault="00000000">
            <w:pPr>
              <w:keepNext/>
              <w:keepLines/>
              <w:spacing w:after="0" w:line="240" w:lineRule="auto"/>
              <w:jc w:val="right"/>
            </w:pPr>
            <w:r>
              <w:rPr>
                <w:sz w:val="18"/>
              </w:rPr>
              <w:t>9.822,14</w:t>
            </w:r>
          </w:p>
        </w:tc>
        <w:tc>
          <w:tcPr>
            <w:tcW w:w="700" w:type="dxa"/>
            <w:tcMar>
              <w:top w:w="0" w:type="dxa"/>
              <w:bottom w:w="0" w:type="dxa"/>
            </w:tcMar>
            <w:vAlign w:val="center"/>
          </w:tcPr>
          <w:p w:rsidR="00E4472F" w:rsidRDefault="00000000">
            <w:pPr>
              <w:keepNext/>
              <w:keepLines/>
              <w:spacing w:after="0" w:line="240" w:lineRule="auto"/>
              <w:jc w:val="right"/>
            </w:pPr>
            <w:r>
              <w:rPr>
                <w:sz w:val="18"/>
              </w:rPr>
              <w:t>89,3</w:t>
            </w:r>
          </w:p>
        </w:tc>
      </w:tr>
    </w:tbl>
    <w:p w:rsidR="00E4472F" w:rsidRDefault="00E4472F">
      <w:pPr>
        <w:spacing w:after="0"/>
      </w:pPr>
    </w:p>
    <w:p w:rsidR="00E4472F" w:rsidRDefault="00000000">
      <w:pPr>
        <w:jc w:val="both"/>
      </w:pPr>
      <w:r>
        <w:t>Naknade za rad predstavničkih tijela u 2025. godini iznosile su 9.822,14 eura, što predstavlja smanjenje u odnosu na 2024. godinu, kada su iznosile 10.997,81 eura. Smanjenje navedenih rashoda posljedica je isteka mandata predstavniku radnika tijekom 2025. godine, pri čemu za navedenog člana nije imenovana zamjena, zbog čega su se naknade isplaćivale za pet članova, u odnosu na šest članova u prethodnoj godini.</w:t>
      </w:r>
    </w:p>
    <w:p w:rsidR="00E4472F" w:rsidRDefault="00E4472F"/>
    <w:p w:rsidR="00E4472F" w:rsidRDefault="00000000">
      <w:pPr>
        <w:keepNext/>
        <w:spacing w:line="240" w:lineRule="auto"/>
        <w:jc w:val="center"/>
      </w:pPr>
      <w:r>
        <w:rPr>
          <w:sz w:val="28"/>
        </w:rPr>
        <w:t>Bilješka 71.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3292</w:t>
            </w:r>
          </w:p>
        </w:tc>
        <w:tc>
          <w:tcPr>
            <w:tcW w:w="3180" w:type="dxa"/>
            <w:tcMar>
              <w:top w:w="0" w:type="dxa"/>
              <w:bottom w:w="0" w:type="dxa"/>
            </w:tcMar>
            <w:vAlign w:val="center"/>
          </w:tcPr>
          <w:p w:rsidR="00E4472F" w:rsidRDefault="00000000">
            <w:pPr>
              <w:keepNext/>
              <w:keepLines/>
              <w:spacing w:after="0" w:line="240" w:lineRule="auto"/>
            </w:pPr>
            <w:r>
              <w:rPr>
                <w:sz w:val="18"/>
              </w:rPr>
              <w:t>Premije osiguranja</w:t>
            </w:r>
          </w:p>
        </w:tc>
        <w:tc>
          <w:tcPr>
            <w:tcW w:w="700" w:type="dxa"/>
            <w:tcMar>
              <w:top w:w="0" w:type="dxa"/>
              <w:bottom w:w="0" w:type="dxa"/>
            </w:tcMar>
            <w:vAlign w:val="center"/>
          </w:tcPr>
          <w:p w:rsidR="00E4472F" w:rsidRDefault="00000000">
            <w:pPr>
              <w:keepNext/>
              <w:keepLines/>
              <w:spacing w:after="0" w:line="240" w:lineRule="auto"/>
            </w:pPr>
            <w:r>
              <w:rPr>
                <w:sz w:val="18"/>
              </w:rPr>
              <w:t>3292</w:t>
            </w:r>
          </w:p>
        </w:tc>
        <w:tc>
          <w:tcPr>
            <w:tcW w:w="1860" w:type="dxa"/>
            <w:tcMar>
              <w:top w:w="0" w:type="dxa"/>
              <w:bottom w:w="0" w:type="dxa"/>
            </w:tcMar>
            <w:vAlign w:val="center"/>
          </w:tcPr>
          <w:p w:rsidR="00E4472F" w:rsidRDefault="00000000">
            <w:pPr>
              <w:keepNext/>
              <w:keepLines/>
              <w:spacing w:after="0" w:line="240" w:lineRule="auto"/>
              <w:jc w:val="right"/>
            </w:pPr>
            <w:r>
              <w:rPr>
                <w:sz w:val="18"/>
              </w:rPr>
              <w:t>333.859,79</w:t>
            </w:r>
          </w:p>
        </w:tc>
        <w:tc>
          <w:tcPr>
            <w:tcW w:w="1860" w:type="dxa"/>
            <w:tcMar>
              <w:top w:w="0" w:type="dxa"/>
              <w:bottom w:w="0" w:type="dxa"/>
            </w:tcMar>
            <w:vAlign w:val="center"/>
          </w:tcPr>
          <w:p w:rsidR="00E4472F" w:rsidRDefault="00000000">
            <w:pPr>
              <w:keepNext/>
              <w:keepLines/>
              <w:spacing w:after="0" w:line="240" w:lineRule="auto"/>
              <w:jc w:val="right"/>
            </w:pPr>
            <w:r>
              <w:rPr>
                <w:sz w:val="18"/>
              </w:rPr>
              <w:t>348.965,21</w:t>
            </w:r>
          </w:p>
        </w:tc>
        <w:tc>
          <w:tcPr>
            <w:tcW w:w="700" w:type="dxa"/>
            <w:tcMar>
              <w:top w:w="0" w:type="dxa"/>
              <w:bottom w:w="0" w:type="dxa"/>
            </w:tcMar>
            <w:vAlign w:val="center"/>
          </w:tcPr>
          <w:p w:rsidR="00E4472F" w:rsidRDefault="00000000">
            <w:pPr>
              <w:keepNext/>
              <w:keepLines/>
              <w:spacing w:after="0" w:line="240" w:lineRule="auto"/>
              <w:jc w:val="right"/>
            </w:pPr>
            <w:r>
              <w:rPr>
                <w:sz w:val="18"/>
              </w:rPr>
              <w:t>104,5</w:t>
            </w:r>
          </w:p>
        </w:tc>
      </w:tr>
    </w:tbl>
    <w:p w:rsidR="00E4472F" w:rsidRDefault="00E4472F">
      <w:pPr>
        <w:spacing w:after="0"/>
      </w:pPr>
    </w:p>
    <w:p w:rsidR="00E4472F" w:rsidRDefault="00000000">
      <w:pPr>
        <w:jc w:val="both"/>
      </w:pPr>
      <w:r>
        <w:t>Rashodi za premije osiguranja u 2025. godini iznosili su 348.965,21 eura, što predstavlja rast od 4,5 % u odnosu na 2024. godinu, kada su iznosili 333.859,79 eura. Rashodi za premije osiguranja u 2025. godini najvećim su dijelom ostvareni po osnovi premija osiguranja zaposlenih u iznosu od 216.876,22 eura. Premije osiguranja ostale imovine iznosile su 128.409,86 eura, dok su rashodi za premije osiguranja prijevoznih sredstava iznosili 3.679,13 eura. Povećanje rashoda prvenstveno je rezultat usklađenja premija osiguranja zaposlenih i imovine s tržišnim uvjetima, a ne promjene opsega osiguranja.</w:t>
      </w:r>
    </w:p>
    <w:p w:rsidR="00E4472F" w:rsidRDefault="00E4472F"/>
    <w:p w:rsidR="00E4472F" w:rsidRDefault="00000000">
      <w:pPr>
        <w:keepNext/>
        <w:spacing w:line="240" w:lineRule="auto"/>
        <w:jc w:val="center"/>
      </w:pPr>
      <w:r>
        <w:rPr>
          <w:sz w:val="28"/>
        </w:rPr>
        <w:t>Bilješka 72.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3293</w:t>
            </w:r>
          </w:p>
        </w:tc>
        <w:tc>
          <w:tcPr>
            <w:tcW w:w="3180" w:type="dxa"/>
            <w:tcMar>
              <w:top w:w="0" w:type="dxa"/>
              <w:bottom w:w="0" w:type="dxa"/>
            </w:tcMar>
            <w:vAlign w:val="center"/>
          </w:tcPr>
          <w:p w:rsidR="00E4472F" w:rsidRDefault="00000000">
            <w:pPr>
              <w:keepNext/>
              <w:keepLines/>
              <w:spacing w:after="0" w:line="240" w:lineRule="auto"/>
            </w:pPr>
            <w:r>
              <w:rPr>
                <w:sz w:val="18"/>
              </w:rPr>
              <w:t>Reprezentacija</w:t>
            </w:r>
          </w:p>
        </w:tc>
        <w:tc>
          <w:tcPr>
            <w:tcW w:w="700" w:type="dxa"/>
            <w:tcMar>
              <w:top w:w="0" w:type="dxa"/>
              <w:bottom w:w="0" w:type="dxa"/>
            </w:tcMar>
            <w:vAlign w:val="center"/>
          </w:tcPr>
          <w:p w:rsidR="00E4472F" w:rsidRDefault="00000000">
            <w:pPr>
              <w:keepNext/>
              <w:keepLines/>
              <w:spacing w:after="0" w:line="240" w:lineRule="auto"/>
            </w:pPr>
            <w:r>
              <w:rPr>
                <w:sz w:val="18"/>
              </w:rPr>
              <w:t>3293</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4.387,00</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pPr>
        <w:jc w:val="both"/>
      </w:pPr>
      <w:r>
        <w:t xml:space="preserve">Rashodi reprezentacije u 2025. godini iznosili su 4.387,00 EUR, dok u 2024. godini po toj osnovi nisu bili ostvareni. Navedeni rashodi odnose se na troškove cateringa, a financirani su iz sredstava donacija i projekta </w:t>
      </w:r>
      <w:proofErr w:type="spellStart"/>
      <w:r>
        <w:t>Horizon</w:t>
      </w:r>
      <w:proofErr w:type="spellEnd"/>
      <w:r>
        <w:t>-ENCANTO.</w:t>
      </w:r>
    </w:p>
    <w:p w:rsidR="00E4472F" w:rsidRDefault="00E4472F"/>
    <w:p w:rsidR="00E4472F" w:rsidRDefault="00000000">
      <w:pPr>
        <w:keepNext/>
        <w:spacing w:line="240" w:lineRule="auto"/>
        <w:jc w:val="center"/>
      </w:pPr>
      <w:r>
        <w:rPr>
          <w:sz w:val="28"/>
        </w:rPr>
        <w:lastRenderedPageBreak/>
        <w:t>Bilješka 73.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3294</w:t>
            </w:r>
          </w:p>
        </w:tc>
        <w:tc>
          <w:tcPr>
            <w:tcW w:w="3180" w:type="dxa"/>
            <w:tcMar>
              <w:top w:w="0" w:type="dxa"/>
              <w:bottom w:w="0" w:type="dxa"/>
            </w:tcMar>
            <w:vAlign w:val="center"/>
          </w:tcPr>
          <w:p w:rsidR="00E4472F" w:rsidRDefault="00000000">
            <w:pPr>
              <w:keepNext/>
              <w:keepLines/>
              <w:spacing w:after="0" w:line="240" w:lineRule="auto"/>
            </w:pPr>
            <w:r>
              <w:rPr>
                <w:sz w:val="18"/>
              </w:rPr>
              <w:t>Članarine i norme</w:t>
            </w:r>
          </w:p>
        </w:tc>
        <w:tc>
          <w:tcPr>
            <w:tcW w:w="700" w:type="dxa"/>
            <w:tcMar>
              <w:top w:w="0" w:type="dxa"/>
              <w:bottom w:w="0" w:type="dxa"/>
            </w:tcMar>
            <w:vAlign w:val="center"/>
          </w:tcPr>
          <w:p w:rsidR="00E4472F" w:rsidRDefault="00000000">
            <w:pPr>
              <w:keepNext/>
              <w:keepLines/>
              <w:spacing w:after="0" w:line="240" w:lineRule="auto"/>
            </w:pPr>
            <w:r>
              <w:rPr>
                <w:sz w:val="18"/>
              </w:rPr>
              <w:t>3294</w:t>
            </w:r>
          </w:p>
        </w:tc>
        <w:tc>
          <w:tcPr>
            <w:tcW w:w="1860" w:type="dxa"/>
            <w:tcMar>
              <w:top w:w="0" w:type="dxa"/>
              <w:bottom w:w="0" w:type="dxa"/>
            </w:tcMar>
            <w:vAlign w:val="center"/>
          </w:tcPr>
          <w:p w:rsidR="00E4472F" w:rsidRDefault="00000000">
            <w:pPr>
              <w:keepNext/>
              <w:keepLines/>
              <w:spacing w:after="0" w:line="240" w:lineRule="auto"/>
              <w:jc w:val="right"/>
            </w:pPr>
            <w:r>
              <w:rPr>
                <w:sz w:val="18"/>
              </w:rPr>
              <w:t>11.761,29</w:t>
            </w:r>
          </w:p>
        </w:tc>
        <w:tc>
          <w:tcPr>
            <w:tcW w:w="1860" w:type="dxa"/>
            <w:tcMar>
              <w:top w:w="0" w:type="dxa"/>
              <w:bottom w:w="0" w:type="dxa"/>
            </w:tcMar>
            <w:vAlign w:val="center"/>
          </w:tcPr>
          <w:p w:rsidR="00E4472F" w:rsidRDefault="00000000">
            <w:pPr>
              <w:keepNext/>
              <w:keepLines/>
              <w:spacing w:after="0" w:line="240" w:lineRule="auto"/>
              <w:jc w:val="right"/>
            </w:pPr>
            <w:r>
              <w:rPr>
                <w:sz w:val="18"/>
              </w:rPr>
              <w:t>13.830,08</w:t>
            </w:r>
          </w:p>
        </w:tc>
        <w:tc>
          <w:tcPr>
            <w:tcW w:w="700" w:type="dxa"/>
            <w:tcMar>
              <w:top w:w="0" w:type="dxa"/>
              <w:bottom w:w="0" w:type="dxa"/>
            </w:tcMar>
            <w:vAlign w:val="center"/>
          </w:tcPr>
          <w:p w:rsidR="00E4472F" w:rsidRDefault="00000000">
            <w:pPr>
              <w:keepNext/>
              <w:keepLines/>
              <w:spacing w:after="0" w:line="240" w:lineRule="auto"/>
              <w:jc w:val="right"/>
            </w:pPr>
            <w:r>
              <w:rPr>
                <w:sz w:val="18"/>
              </w:rPr>
              <w:t>117,6</w:t>
            </w:r>
          </w:p>
        </w:tc>
      </w:tr>
    </w:tbl>
    <w:p w:rsidR="00E4472F" w:rsidRDefault="00E4472F">
      <w:pPr>
        <w:spacing w:after="0"/>
      </w:pPr>
    </w:p>
    <w:p w:rsidR="00E4472F" w:rsidRDefault="00000000">
      <w:pPr>
        <w:jc w:val="both"/>
      </w:pPr>
      <w:r>
        <w:t>Rashodi za članarine i norme u 2025. godini iznosili su 13.830,08 eura, dok su u 2024. godini iznosili 11.761,29 eura, što predstavlja rast od 17,6 %. Povećanje rashoda posljedica je promjena u visini obračuna članarina tijekom izvještajnog razdoblja.</w:t>
      </w:r>
    </w:p>
    <w:p w:rsidR="00E4472F" w:rsidRDefault="00E4472F"/>
    <w:p w:rsidR="00E4472F" w:rsidRDefault="00000000">
      <w:pPr>
        <w:keepNext/>
        <w:spacing w:line="240" w:lineRule="auto"/>
        <w:jc w:val="center"/>
      </w:pPr>
      <w:r>
        <w:rPr>
          <w:sz w:val="28"/>
        </w:rPr>
        <w:t>Bilješka 74.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3295</w:t>
            </w:r>
          </w:p>
        </w:tc>
        <w:tc>
          <w:tcPr>
            <w:tcW w:w="3180" w:type="dxa"/>
            <w:tcMar>
              <w:top w:w="0" w:type="dxa"/>
              <w:bottom w:w="0" w:type="dxa"/>
            </w:tcMar>
            <w:vAlign w:val="center"/>
          </w:tcPr>
          <w:p w:rsidR="00E4472F" w:rsidRDefault="00000000">
            <w:pPr>
              <w:keepNext/>
              <w:keepLines/>
              <w:spacing w:after="0" w:line="240" w:lineRule="auto"/>
            </w:pPr>
            <w:r>
              <w:rPr>
                <w:sz w:val="18"/>
              </w:rPr>
              <w:t>Pristojbe i naknade</w:t>
            </w:r>
          </w:p>
        </w:tc>
        <w:tc>
          <w:tcPr>
            <w:tcW w:w="700" w:type="dxa"/>
            <w:tcMar>
              <w:top w:w="0" w:type="dxa"/>
              <w:bottom w:w="0" w:type="dxa"/>
            </w:tcMar>
            <w:vAlign w:val="center"/>
          </w:tcPr>
          <w:p w:rsidR="00E4472F" w:rsidRDefault="00000000">
            <w:pPr>
              <w:keepNext/>
              <w:keepLines/>
              <w:spacing w:after="0" w:line="240" w:lineRule="auto"/>
            </w:pPr>
            <w:r>
              <w:rPr>
                <w:sz w:val="18"/>
              </w:rPr>
              <w:t>3295</w:t>
            </w:r>
          </w:p>
        </w:tc>
        <w:tc>
          <w:tcPr>
            <w:tcW w:w="1860" w:type="dxa"/>
            <w:tcMar>
              <w:top w:w="0" w:type="dxa"/>
              <w:bottom w:w="0" w:type="dxa"/>
            </w:tcMar>
            <w:vAlign w:val="center"/>
          </w:tcPr>
          <w:p w:rsidR="00E4472F" w:rsidRDefault="00000000">
            <w:pPr>
              <w:keepNext/>
              <w:keepLines/>
              <w:spacing w:after="0" w:line="240" w:lineRule="auto"/>
              <w:jc w:val="right"/>
            </w:pPr>
            <w:r>
              <w:rPr>
                <w:sz w:val="18"/>
              </w:rPr>
              <w:t>141.026,84</w:t>
            </w:r>
          </w:p>
        </w:tc>
        <w:tc>
          <w:tcPr>
            <w:tcW w:w="1860" w:type="dxa"/>
            <w:tcMar>
              <w:top w:w="0" w:type="dxa"/>
              <w:bottom w:w="0" w:type="dxa"/>
            </w:tcMar>
            <w:vAlign w:val="center"/>
          </w:tcPr>
          <w:p w:rsidR="00E4472F" w:rsidRDefault="00000000">
            <w:pPr>
              <w:keepNext/>
              <w:keepLines/>
              <w:spacing w:after="0" w:line="240" w:lineRule="auto"/>
              <w:jc w:val="right"/>
            </w:pPr>
            <w:r>
              <w:rPr>
                <w:sz w:val="18"/>
              </w:rPr>
              <w:t>22.040,27</w:t>
            </w:r>
          </w:p>
        </w:tc>
        <w:tc>
          <w:tcPr>
            <w:tcW w:w="700" w:type="dxa"/>
            <w:tcMar>
              <w:top w:w="0" w:type="dxa"/>
              <w:bottom w:w="0" w:type="dxa"/>
            </w:tcMar>
            <w:vAlign w:val="center"/>
          </w:tcPr>
          <w:p w:rsidR="00E4472F" w:rsidRDefault="00000000">
            <w:pPr>
              <w:keepNext/>
              <w:keepLines/>
              <w:spacing w:after="0" w:line="240" w:lineRule="auto"/>
              <w:jc w:val="right"/>
            </w:pPr>
            <w:r>
              <w:rPr>
                <w:sz w:val="18"/>
              </w:rPr>
              <w:t>15,6</w:t>
            </w:r>
          </w:p>
        </w:tc>
      </w:tr>
    </w:tbl>
    <w:p w:rsidR="00E4472F" w:rsidRDefault="00E4472F">
      <w:pPr>
        <w:spacing w:after="0"/>
      </w:pPr>
    </w:p>
    <w:p w:rsidR="00E4472F" w:rsidRDefault="00000000">
      <w:pPr>
        <w:jc w:val="both"/>
      </w:pPr>
      <w:r>
        <w:t>Rashodi za pristojbe i naknade u 2025. godini iznosili su 22.040,27 eura, dok su u 2024. godini iznosili 141.026,84 eura, što predstavlja značajno smanjenje u odnosu na prethodnu godinu. Smanjenje navedenih rashoda prvenstveno je posljedica završetka sudskih postupaka u radnim sporovima.</w:t>
      </w:r>
    </w:p>
    <w:p w:rsidR="00E4472F" w:rsidRDefault="00E4472F"/>
    <w:p w:rsidR="00E4472F" w:rsidRDefault="00000000">
      <w:pPr>
        <w:keepNext/>
        <w:spacing w:line="240" w:lineRule="auto"/>
        <w:jc w:val="center"/>
      </w:pPr>
      <w:r>
        <w:rPr>
          <w:sz w:val="28"/>
        </w:rPr>
        <w:t>Bilješka 75.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3296</w:t>
            </w:r>
          </w:p>
        </w:tc>
        <w:tc>
          <w:tcPr>
            <w:tcW w:w="3180" w:type="dxa"/>
            <w:tcMar>
              <w:top w:w="0" w:type="dxa"/>
              <w:bottom w:w="0" w:type="dxa"/>
            </w:tcMar>
            <w:vAlign w:val="center"/>
          </w:tcPr>
          <w:p w:rsidR="00E4472F" w:rsidRDefault="00000000">
            <w:pPr>
              <w:keepNext/>
              <w:keepLines/>
              <w:spacing w:after="0" w:line="240" w:lineRule="auto"/>
            </w:pPr>
            <w:r>
              <w:rPr>
                <w:sz w:val="18"/>
              </w:rPr>
              <w:t>Troškovi sudskih postupaka</w:t>
            </w:r>
          </w:p>
        </w:tc>
        <w:tc>
          <w:tcPr>
            <w:tcW w:w="700" w:type="dxa"/>
            <w:tcMar>
              <w:top w:w="0" w:type="dxa"/>
              <w:bottom w:w="0" w:type="dxa"/>
            </w:tcMar>
            <w:vAlign w:val="center"/>
          </w:tcPr>
          <w:p w:rsidR="00E4472F" w:rsidRDefault="00000000">
            <w:pPr>
              <w:keepNext/>
              <w:keepLines/>
              <w:spacing w:after="0" w:line="240" w:lineRule="auto"/>
            </w:pPr>
            <w:r>
              <w:rPr>
                <w:sz w:val="18"/>
              </w:rPr>
              <w:t>3296</w:t>
            </w:r>
          </w:p>
        </w:tc>
        <w:tc>
          <w:tcPr>
            <w:tcW w:w="1860" w:type="dxa"/>
            <w:tcMar>
              <w:top w:w="0" w:type="dxa"/>
              <w:bottom w:w="0" w:type="dxa"/>
            </w:tcMar>
            <w:vAlign w:val="center"/>
          </w:tcPr>
          <w:p w:rsidR="00E4472F" w:rsidRDefault="00000000">
            <w:pPr>
              <w:keepNext/>
              <w:keepLines/>
              <w:spacing w:after="0" w:line="240" w:lineRule="auto"/>
              <w:jc w:val="right"/>
            </w:pPr>
            <w:r>
              <w:rPr>
                <w:sz w:val="18"/>
              </w:rPr>
              <w:t>281.673,77</w:t>
            </w:r>
          </w:p>
        </w:tc>
        <w:tc>
          <w:tcPr>
            <w:tcW w:w="1860" w:type="dxa"/>
            <w:tcMar>
              <w:top w:w="0" w:type="dxa"/>
              <w:bottom w:w="0" w:type="dxa"/>
            </w:tcMar>
            <w:vAlign w:val="center"/>
          </w:tcPr>
          <w:p w:rsidR="00E4472F" w:rsidRDefault="00000000">
            <w:pPr>
              <w:keepNext/>
              <w:keepLines/>
              <w:spacing w:after="0" w:line="240" w:lineRule="auto"/>
              <w:jc w:val="right"/>
            </w:pPr>
            <w:r>
              <w:rPr>
                <w:sz w:val="18"/>
              </w:rPr>
              <w:t>122.084,77</w:t>
            </w:r>
          </w:p>
        </w:tc>
        <w:tc>
          <w:tcPr>
            <w:tcW w:w="700" w:type="dxa"/>
            <w:tcMar>
              <w:top w:w="0" w:type="dxa"/>
              <w:bottom w:w="0" w:type="dxa"/>
            </w:tcMar>
            <w:vAlign w:val="center"/>
          </w:tcPr>
          <w:p w:rsidR="00E4472F" w:rsidRDefault="00000000">
            <w:pPr>
              <w:keepNext/>
              <w:keepLines/>
              <w:spacing w:after="0" w:line="240" w:lineRule="auto"/>
              <w:jc w:val="right"/>
            </w:pPr>
            <w:r>
              <w:rPr>
                <w:sz w:val="18"/>
              </w:rPr>
              <w:t>43,3</w:t>
            </w:r>
          </w:p>
        </w:tc>
      </w:tr>
    </w:tbl>
    <w:p w:rsidR="00E4472F" w:rsidRDefault="00E4472F">
      <w:pPr>
        <w:spacing w:after="0"/>
      </w:pPr>
    </w:p>
    <w:p w:rsidR="00E4472F" w:rsidRDefault="00000000">
      <w:pPr>
        <w:jc w:val="both"/>
      </w:pPr>
      <w:r>
        <w:t>Troškovi sudskih postupaka u 2025. godini iznosili su 122.084,77 eura, dok su u 2024. godini iznosili 281.673,77 eura, što predstavlja smanjenje od 56,6 % u odnosu na prethodnu godinu. Smanjenje navedenih troškova prvenstveno je posljedica dovršetka većeg broja radnih sporova koji su se odnosili na obračun dodataka na plaću za prekovremeni rad te usklađenje obračuna plaće uslijed promjene osnovice, temeljem važećih kolektivnih ugovora i sudske prakse.</w:t>
      </w:r>
    </w:p>
    <w:p w:rsidR="00E4472F" w:rsidRDefault="00E4472F"/>
    <w:p w:rsidR="00E4472F" w:rsidRDefault="00000000">
      <w:pPr>
        <w:keepNext/>
        <w:spacing w:line="240" w:lineRule="auto"/>
        <w:jc w:val="center"/>
      </w:pPr>
      <w:r>
        <w:rPr>
          <w:sz w:val="28"/>
        </w:rPr>
        <w:lastRenderedPageBreak/>
        <w:t>Bilješka 76.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3299</w:t>
            </w:r>
          </w:p>
        </w:tc>
        <w:tc>
          <w:tcPr>
            <w:tcW w:w="3180" w:type="dxa"/>
            <w:tcMar>
              <w:top w:w="0" w:type="dxa"/>
              <w:bottom w:w="0" w:type="dxa"/>
            </w:tcMar>
            <w:vAlign w:val="center"/>
          </w:tcPr>
          <w:p w:rsidR="00E4472F" w:rsidRDefault="00000000">
            <w:pPr>
              <w:keepNext/>
              <w:keepLines/>
              <w:spacing w:after="0" w:line="240" w:lineRule="auto"/>
            </w:pPr>
            <w:r>
              <w:rPr>
                <w:sz w:val="18"/>
              </w:rPr>
              <w:t>Ostali nespomenuti rashodi poslovanja</w:t>
            </w:r>
          </w:p>
        </w:tc>
        <w:tc>
          <w:tcPr>
            <w:tcW w:w="700" w:type="dxa"/>
            <w:tcMar>
              <w:top w:w="0" w:type="dxa"/>
              <w:bottom w:w="0" w:type="dxa"/>
            </w:tcMar>
            <w:vAlign w:val="center"/>
          </w:tcPr>
          <w:p w:rsidR="00E4472F" w:rsidRDefault="00000000">
            <w:pPr>
              <w:keepNext/>
              <w:keepLines/>
              <w:spacing w:after="0" w:line="240" w:lineRule="auto"/>
            </w:pPr>
            <w:r>
              <w:rPr>
                <w:sz w:val="18"/>
              </w:rPr>
              <w:t>3299</w:t>
            </w:r>
          </w:p>
        </w:tc>
        <w:tc>
          <w:tcPr>
            <w:tcW w:w="1860" w:type="dxa"/>
            <w:tcMar>
              <w:top w:w="0" w:type="dxa"/>
              <w:bottom w:w="0" w:type="dxa"/>
            </w:tcMar>
            <w:vAlign w:val="center"/>
          </w:tcPr>
          <w:p w:rsidR="00E4472F" w:rsidRDefault="00000000">
            <w:pPr>
              <w:keepNext/>
              <w:keepLines/>
              <w:spacing w:after="0" w:line="240" w:lineRule="auto"/>
              <w:jc w:val="right"/>
            </w:pPr>
            <w:r>
              <w:rPr>
                <w:sz w:val="18"/>
              </w:rPr>
              <w:t>98.558,46</w:t>
            </w:r>
          </w:p>
        </w:tc>
        <w:tc>
          <w:tcPr>
            <w:tcW w:w="1860" w:type="dxa"/>
            <w:tcMar>
              <w:top w:w="0" w:type="dxa"/>
              <w:bottom w:w="0" w:type="dxa"/>
            </w:tcMar>
            <w:vAlign w:val="center"/>
          </w:tcPr>
          <w:p w:rsidR="00E4472F" w:rsidRDefault="00000000">
            <w:pPr>
              <w:keepNext/>
              <w:keepLines/>
              <w:spacing w:after="0" w:line="240" w:lineRule="auto"/>
              <w:jc w:val="right"/>
            </w:pPr>
            <w:r>
              <w:rPr>
                <w:sz w:val="18"/>
              </w:rPr>
              <w:t>98.883,82</w:t>
            </w:r>
          </w:p>
        </w:tc>
        <w:tc>
          <w:tcPr>
            <w:tcW w:w="700" w:type="dxa"/>
            <w:tcMar>
              <w:top w:w="0" w:type="dxa"/>
              <w:bottom w:w="0" w:type="dxa"/>
            </w:tcMar>
            <w:vAlign w:val="center"/>
          </w:tcPr>
          <w:p w:rsidR="00E4472F" w:rsidRDefault="00000000">
            <w:pPr>
              <w:keepNext/>
              <w:keepLines/>
              <w:spacing w:after="0" w:line="240" w:lineRule="auto"/>
              <w:jc w:val="right"/>
            </w:pPr>
            <w:r>
              <w:rPr>
                <w:sz w:val="18"/>
              </w:rPr>
              <w:t>100,3</w:t>
            </w:r>
          </w:p>
        </w:tc>
      </w:tr>
    </w:tbl>
    <w:p w:rsidR="00E4472F" w:rsidRDefault="00E4472F">
      <w:pPr>
        <w:spacing w:after="0"/>
      </w:pPr>
    </w:p>
    <w:p w:rsidR="00E4472F" w:rsidRDefault="00000000">
      <w:pPr>
        <w:jc w:val="both"/>
      </w:pPr>
      <w:r>
        <w:t xml:space="preserve">Ostali nespomenuti rashodi poslovanja u 2025. godini iznosili su 98.883,82 eura, dok su u 2024. godini iznosili 98.558,46 eura, te su ostali na približno istoj razini u odnosu na prethodnu godinu, a evidentirani su rashodi za </w:t>
      </w:r>
      <w:proofErr w:type="spellStart"/>
      <w:r>
        <w:t>Multisport</w:t>
      </w:r>
      <w:proofErr w:type="spellEnd"/>
      <w:r>
        <w:t xml:space="preserve"> članarine, rashode za vijence, cvijeće, dostava sućuti, izvršene usluge obdukcija.</w:t>
      </w:r>
    </w:p>
    <w:p w:rsidR="00E4472F" w:rsidRDefault="00E4472F"/>
    <w:p w:rsidR="00E4472F" w:rsidRDefault="00000000">
      <w:pPr>
        <w:keepNext/>
        <w:spacing w:line="240" w:lineRule="auto"/>
        <w:jc w:val="center"/>
      </w:pPr>
      <w:r>
        <w:rPr>
          <w:sz w:val="28"/>
        </w:rPr>
        <w:t>Bilješka 77.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34</w:t>
            </w:r>
          </w:p>
        </w:tc>
        <w:tc>
          <w:tcPr>
            <w:tcW w:w="3180" w:type="dxa"/>
            <w:tcMar>
              <w:top w:w="0" w:type="dxa"/>
              <w:bottom w:w="0" w:type="dxa"/>
            </w:tcMar>
            <w:vAlign w:val="center"/>
          </w:tcPr>
          <w:p w:rsidR="00E4472F" w:rsidRDefault="00000000">
            <w:pPr>
              <w:keepNext/>
              <w:keepLines/>
              <w:spacing w:after="0" w:line="240" w:lineRule="auto"/>
            </w:pPr>
            <w:r>
              <w:rPr>
                <w:sz w:val="18"/>
              </w:rPr>
              <w:t>Financijski rashodi (šifre 341+342+343)</w:t>
            </w:r>
          </w:p>
        </w:tc>
        <w:tc>
          <w:tcPr>
            <w:tcW w:w="700" w:type="dxa"/>
            <w:tcMar>
              <w:top w:w="0" w:type="dxa"/>
              <w:bottom w:w="0" w:type="dxa"/>
            </w:tcMar>
            <w:vAlign w:val="center"/>
          </w:tcPr>
          <w:p w:rsidR="00E4472F" w:rsidRDefault="00000000">
            <w:pPr>
              <w:keepNext/>
              <w:keepLines/>
              <w:spacing w:after="0" w:line="240" w:lineRule="auto"/>
            </w:pPr>
            <w:r>
              <w:rPr>
                <w:sz w:val="18"/>
              </w:rPr>
              <w:t>34</w:t>
            </w:r>
          </w:p>
        </w:tc>
        <w:tc>
          <w:tcPr>
            <w:tcW w:w="1860" w:type="dxa"/>
            <w:tcMar>
              <w:top w:w="0" w:type="dxa"/>
              <w:bottom w:w="0" w:type="dxa"/>
            </w:tcMar>
            <w:vAlign w:val="center"/>
          </w:tcPr>
          <w:p w:rsidR="00E4472F" w:rsidRDefault="00000000">
            <w:pPr>
              <w:keepNext/>
              <w:keepLines/>
              <w:spacing w:after="0" w:line="240" w:lineRule="auto"/>
              <w:jc w:val="right"/>
            </w:pPr>
            <w:r>
              <w:rPr>
                <w:sz w:val="18"/>
              </w:rPr>
              <w:t>312.642,62</w:t>
            </w:r>
          </w:p>
        </w:tc>
        <w:tc>
          <w:tcPr>
            <w:tcW w:w="1860" w:type="dxa"/>
            <w:tcMar>
              <w:top w:w="0" w:type="dxa"/>
              <w:bottom w:w="0" w:type="dxa"/>
            </w:tcMar>
            <w:vAlign w:val="center"/>
          </w:tcPr>
          <w:p w:rsidR="00E4472F" w:rsidRDefault="00000000">
            <w:pPr>
              <w:keepNext/>
              <w:keepLines/>
              <w:spacing w:after="0" w:line="240" w:lineRule="auto"/>
              <w:jc w:val="right"/>
            </w:pPr>
            <w:r>
              <w:rPr>
                <w:sz w:val="18"/>
              </w:rPr>
              <w:t>695.426,93</w:t>
            </w:r>
          </w:p>
        </w:tc>
        <w:tc>
          <w:tcPr>
            <w:tcW w:w="700" w:type="dxa"/>
            <w:tcMar>
              <w:top w:w="0" w:type="dxa"/>
              <w:bottom w:w="0" w:type="dxa"/>
            </w:tcMar>
            <w:vAlign w:val="center"/>
          </w:tcPr>
          <w:p w:rsidR="00E4472F" w:rsidRDefault="00000000">
            <w:pPr>
              <w:keepNext/>
              <w:keepLines/>
              <w:spacing w:after="0" w:line="240" w:lineRule="auto"/>
              <w:jc w:val="right"/>
            </w:pPr>
            <w:r>
              <w:rPr>
                <w:sz w:val="18"/>
              </w:rPr>
              <w:t>222,4</w:t>
            </w:r>
          </w:p>
        </w:tc>
      </w:tr>
    </w:tbl>
    <w:p w:rsidR="00E4472F" w:rsidRDefault="00E4472F">
      <w:pPr>
        <w:spacing w:after="0"/>
      </w:pPr>
    </w:p>
    <w:p w:rsidR="00E4472F" w:rsidRDefault="00000000">
      <w:pPr>
        <w:jc w:val="both"/>
      </w:pPr>
      <w:r>
        <w:t xml:space="preserve">Financijski rashodi u 2025. godini iznosili su 695.426,93 eura, dok su u 2024. godini iznosili 312.642,62 eura, što predstavlja rast od 120,4 %. Značajno povećanje rashoda najvećim je dijelom posljedica obračuna zateznih zakonskih kamata, pretežito od strane </w:t>
      </w:r>
      <w:proofErr w:type="spellStart"/>
      <w:r>
        <w:t>veledrogerija</w:t>
      </w:r>
      <w:proofErr w:type="spellEnd"/>
      <w:r>
        <w:t>, uslijed plaćanja dospjelih obveza nakon roka dospijeća.</w:t>
      </w:r>
    </w:p>
    <w:p w:rsidR="00E4472F" w:rsidRDefault="00E4472F"/>
    <w:p w:rsidR="00E4472F" w:rsidRDefault="00000000">
      <w:pPr>
        <w:keepNext/>
        <w:spacing w:line="240" w:lineRule="auto"/>
        <w:jc w:val="center"/>
      </w:pPr>
      <w:r>
        <w:rPr>
          <w:sz w:val="28"/>
        </w:rPr>
        <w:t>Bilješka 78.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342</w:t>
            </w:r>
          </w:p>
        </w:tc>
        <w:tc>
          <w:tcPr>
            <w:tcW w:w="3180" w:type="dxa"/>
            <w:tcMar>
              <w:top w:w="0" w:type="dxa"/>
              <w:bottom w:w="0" w:type="dxa"/>
            </w:tcMar>
            <w:vAlign w:val="center"/>
          </w:tcPr>
          <w:p w:rsidR="00E4472F" w:rsidRDefault="00000000">
            <w:pPr>
              <w:keepNext/>
              <w:keepLines/>
              <w:spacing w:after="0" w:line="240" w:lineRule="auto"/>
            </w:pPr>
            <w:r>
              <w:rPr>
                <w:sz w:val="18"/>
              </w:rPr>
              <w:t>Kamate za primljene kredite i zajmove (šifre 3421 do 3428)</w:t>
            </w:r>
          </w:p>
        </w:tc>
        <w:tc>
          <w:tcPr>
            <w:tcW w:w="700" w:type="dxa"/>
            <w:tcMar>
              <w:top w:w="0" w:type="dxa"/>
              <w:bottom w:w="0" w:type="dxa"/>
            </w:tcMar>
            <w:vAlign w:val="center"/>
          </w:tcPr>
          <w:p w:rsidR="00E4472F" w:rsidRDefault="00000000">
            <w:pPr>
              <w:keepNext/>
              <w:keepLines/>
              <w:spacing w:after="0" w:line="240" w:lineRule="auto"/>
            </w:pPr>
            <w:r>
              <w:rPr>
                <w:sz w:val="18"/>
              </w:rPr>
              <w:t>342</w:t>
            </w:r>
          </w:p>
        </w:tc>
        <w:tc>
          <w:tcPr>
            <w:tcW w:w="1860" w:type="dxa"/>
            <w:tcMar>
              <w:top w:w="0" w:type="dxa"/>
              <w:bottom w:w="0" w:type="dxa"/>
            </w:tcMar>
            <w:vAlign w:val="center"/>
          </w:tcPr>
          <w:p w:rsidR="00E4472F" w:rsidRDefault="00000000">
            <w:pPr>
              <w:keepNext/>
              <w:keepLines/>
              <w:spacing w:after="0" w:line="240" w:lineRule="auto"/>
              <w:jc w:val="right"/>
            </w:pPr>
            <w:r>
              <w:rPr>
                <w:sz w:val="18"/>
              </w:rPr>
              <w:t>51.058,82</w:t>
            </w:r>
          </w:p>
        </w:tc>
        <w:tc>
          <w:tcPr>
            <w:tcW w:w="1860" w:type="dxa"/>
            <w:tcMar>
              <w:top w:w="0" w:type="dxa"/>
              <w:bottom w:w="0" w:type="dxa"/>
            </w:tcMar>
            <w:vAlign w:val="center"/>
          </w:tcPr>
          <w:p w:rsidR="00E4472F" w:rsidRDefault="00000000">
            <w:pPr>
              <w:keepNext/>
              <w:keepLines/>
              <w:spacing w:after="0" w:line="240" w:lineRule="auto"/>
              <w:jc w:val="right"/>
            </w:pPr>
            <w:r>
              <w:rPr>
                <w:sz w:val="18"/>
              </w:rPr>
              <w:t>21.839,05</w:t>
            </w:r>
          </w:p>
        </w:tc>
        <w:tc>
          <w:tcPr>
            <w:tcW w:w="700" w:type="dxa"/>
            <w:tcMar>
              <w:top w:w="0" w:type="dxa"/>
              <w:bottom w:w="0" w:type="dxa"/>
            </w:tcMar>
            <w:vAlign w:val="center"/>
          </w:tcPr>
          <w:p w:rsidR="00E4472F" w:rsidRDefault="00000000">
            <w:pPr>
              <w:keepNext/>
              <w:keepLines/>
              <w:spacing w:after="0" w:line="240" w:lineRule="auto"/>
              <w:jc w:val="right"/>
            </w:pPr>
            <w:r>
              <w:rPr>
                <w:sz w:val="18"/>
              </w:rPr>
              <w:t>42,8</w:t>
            </w:r>
          </w:p>
        </w:tc>
      </w:tr>
    </w:tbl>
    <w:p w:rsidR="00E4472F" w:rsidRDefault="00E4472F">
      <w:pPr>
        <w:spacing w:after="0"/>
      </w:pPr>
    </w:p>
    <w:p w:rsidR="00E4472F" w:rsidRDefault="00000000">
      <w:pPr>
        <w:jc w:val="both"/>
      </w:pPr>
      <w:r>
        <w:t>Rashodi za kamate za primljene kredite i zajmove u 2025. godini iznosili su 21.839,05 eura, dok su u 2024. godini iznosili 51.058,82 eura, što predstavlja smanjenje od 57,2 %. Smanjenje navedenih rashoda posljedica je činjenice da je tijekom 2025. godine otplaćen gotovo cjelokupan iznos kredita, pri čemu je na početku godine preostao samo posljednji anuitet, što je rezultiralo znatno nižim obračunom kamata.</w:t>
      </w:r>
    </w:p>
    <w:p w:rsidR="00E4472F" w:rsidRDefault="00E4472F"/>
    <w:p w:rsidR="00E4472F" w:rsidRDefault="00000000">
      <w:pPr>
        <w:keepNext/>
        <w:spacing w:line="240" w:lineRule="auto"/>
        <w:jc w:val="center"/>
      </w:pPr>
      <w:r>
        <w:rPr>
          <w:sz w:val="28"/>
        </w:rPr>
        <w:lastRenderedPageBreak/>
        <w:t>Bilješka 79.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3423</w:t>
            </w:r>
          </w:p>
        </w:tc>
        <w:tc>
          <w:tcPr>
            <w:tcW w:w="3180" w:type="dxa"/>
            <w:tcMar>
              <w:top w:w="0" w:type="dxa"/>
              <w:bottom w:w="0" w:type="dxa"/>
            </w:tcMar>
            <w:vAlign w:val="center"/>
          </w:tcPr>
          <w:p w:rsidR="00E4472F" w:rsidRDefault="00000000">
            <w:pPr>
              <w:keepNext/>
              <w:keepLines/>
              <w:spacing w:after="0" w:line="240" w:lineRule="auto"/>
            </w:pPr>
            <w:r>
              <w:rPr>
                <w:sz w:val="18"/>
              </w:rPr>
              <w:t>Kamate za primljene kredite i zajmove od kreditnih i ostalih financijskih institucija izvan javnog sektora</w:t>
            </w:r>
          </w:p>
        </w:tc>
        <w:tc>
          <w:tcPr>
            <w:tcW w:w="700" w:type="dxa"/>
            <w:tcMar>
              <w:top w:w="0" w:type="dxa"/>
              <w:bottom w:w="0" w:type="dxa"/>
            </w:tcMar>
            <w:vAlign w:val="center"/>
          </w:tcPr>
          <w:p w:rsidR="00E4472F" w:rsidRDefault="00000000">
            <w:pPr>
              <w:keepNext/>
              <w:keepLines/>
              <w:spacing w:after="0" w:line="240" w:lineRule="auto"/>
            </w:pPr>
            <w:r>
              <w:rPr>
                <w:sz w:val="18"/>
              </w:rPr>
              <w:t>3423</w:t>
            </w:r>
          </w:p>
        </w:tc>
        <w:tc>
          <w:tcPr>
            <w:tcW w:w="1860" w:type="dxa"/>
            <w:tcMar>
              <w:top w:w="0" w:type="dxa"/>
              <w:bottom w:w="0" w:type="dxa"/>
            </w:tcMar>
            <w:vAlign w:val="center"/>
          </w:tcPr>
          <w:p w:rsidR="00E4472F" w:rsidRDefault="00000000">
            <w:pPr>
              <w:keepNext/>
              <w:keepLines/>
              <w:spacing w:after="0" w:line="240" w:lineRule="auto"/>
              <w:jc w:val="right"/>
            </w:pPr>
            <w:r>
              <w:rPr>
                <w:sz w:val="18"/>
              </w:rPr>
              <w:t>51.058,82</w:t>
            </w:r>
          </w:p>
        </w:tc>
        <w:tc>
          <w:tcPr>
            <w:tcW w:w="1860" w:type="dxa"/>
            <w:tcMar>
              <w:top w:w="0" w:type="dxa"/>
              <w:bottom w:w="0" w:type="dxa"/>
            </w:tcMar>
            <w:vAlign w:val="center"/>
          </w:tcPr>
          <w:p w:rsidR="00E4472F" w:rsidRDefault="00000000">
            <w:pPr>
              <w:keepNext/>
              <w:keepLines/>
              <w:spacing w:after="0" w:line="240" w:lineRule="auto"/>
              <w:jc w:val="right"/>
            </w:pPr>
            <w:r>
              <w:rPr>
                <w:sz w:val="18"/>
              </w:rPr>
              <w:t>21.839,05</w:t>
            </w:r>
          </w:p>
        </w:tc>
        <w:tc>
          <w:tcPr>
            <w:tcW w:w="700" w:type="dxa"/>
            <w:tcMar>
              <w:top w:w="0" w:type="dxa"/>
              <w:bottom w:w="0" w:type="dxa"/>
            </w:tcMar>
            <w:vAlign w:val="center"/>
          </w:tcPr>
          <w:p w:rsidR="00E4472F" w:rsidRDefault="00000000">
            <w:pPr>
              <w:keepNext/>
              <w:keepLines/>
              <w:spacing w:after="0" w:line="240" w:lineRule="auto"/>
              <w:jc w:val="right"/>
            </w:pPr>
            <w:r>
              <w:rPr>
                <w:sz w:val="18"/>
              </w:rPr>
              <w:t>42,8</w:t>
            </w:r>
          </w:p>
        </w:tc>
      </w:tr>
    </w:tbl>
    <w:p w:rsidR="00E4472F" w:rsidRDefault="00E4472F">
      <w:pPr>
        <w:spacing w:after="0"/>
      </w:pPr>
    </w:p>
    <w:p w:rsidR="00E4472F" w:rsidRDefault="00000000">
      <w:r>
        <w:t>Rashodi za kamate za primljene kredite i zajmove u 2025. godini iznosili su 21.839,05 eura, dok su u 2024. godini iznosili 51.058,82 eura, što predstavlja smanjenje od 57,3 %. </w:t>
      </w:r>
    </w:p>
    <w:p w:rsidR="00E4472F" w:rsidRDefault="00E4472F"/>
    <w:p w:rsidR="00E4472F" w:rsidRDefault="00000000">
      <w:pPr>
        <w:keepNext/>
        <w:spacing w:line="240" w:lineRule="auto"/>
        <w:jc w:val="center"/>
      </w:pPr>
      <w:r>
        <w:rPr>
          <w:sz w:val="28"/>
        </w:rPr>
        <w:t>Bilješka 80.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343</w:t>
            </w:r>
          </w:p>
        </w:tc>
        <w:tc>
          <w:tcPr>
            <w:tcW w:w="3180" w:type="dxa"/>
            <w:tcMar>
              <w:top w:w="0" w:type="dxa"/>
              <w:bottom w:w="0" w:type="dxa"/>
            </w:tcMar>
            <w:vAlign w:val="center"/>
          </w:tcPr>
          <w:p w:rsidR="00E4472F" w:rsidRDefault="00000000">
            <w:pPr>
              <w:keepNext/>
              <w:keepLines/>
              <w:spacing w:after="0" w:line="240" w:lineRule="auto"/>
            </w:pPr>
            <w:r>
              <w:rPr>
                <w:sz w:val="18"/>
              </w:rPr>
              <w:t>Ostali financijski rashodi (šifre 3431 do 3434)</w:t>
            </w:r>
          </w:p>
        </w:tc>
        <w:tc>
          <w:tcPr>
            <w:tcW w:w="700" w:type="dxa"/>
            <w:tcMar>
              <w:top w:w="0" w:type="dxa"/>
              <w:bottom w:w="0" w:type="dxa"/>
            </w:tcMar>
            <w:vAlign w:val="center"/>
          </w:tcPr>
          <w:p w:rsidR="00E4472F" w:rsidRDefault="00000000">
            <w:pPr>
              <w:keepNext/>
              <w:keepLines/>
              <w:spacing w:after="0" w:line="240" w:lineRule="auto"/>
            </w:pPr>
            <w:r>
              <w:rPr>
                <w:sz w:val="18"/>
              </w:rPr>
              <w:t>343</w:t>
            </w:r>
          </w:p>
        </w:tc>
        <w:tc>
          <w:tcPr>
            <w:tcW w:w="1860" w:type="dxa"/>
            <w:tcMar>
              <w:top w:w="0" w:type="dxa"/>
              <w:bottom w:w="0" w:type="dxa"/>
            </w:tcMar>
            <w:vAlign w:val="center"/>
          </w:tcPr>
          <w:p w:rsidR="00E4472F" w:rsidRDefault="00000000">
            <w:pPr>
              <w:keepNext/>
              <w:keepLines/>
              <w:spacing w:after="0" w:line="240" w:lineRule="auto"/>
              <w:jc w:val="right"/>
            </w:pPr>
            <w:r>
              <w:rPr>
                <w:sz w:val="18"/>
              </w:rPr>
              <w:t>261.583,80</w:t>
            </w:r>
          </w:p>
        </w:tc>
        <w:tc>
          <w:tcPr>
            <w:tcW w:w="1860" w:type="dxa"/>
            <w:tcMar>
              <w:top w:w="0" w:type="dxa"/>
              <w:bottom w:w="0" w:type="dxa"/>
            </w:tcMar>
            <w:vAlign w:val="center"/>
          </w:tcPr>
          <w:p w:rsidR="00E4472F" w:rsidRDefault="00000000">
            <w:pPr>
              <w:keepNext/>
              <w:keepLines/>
              <w:spacing w:after="0" w:line="240" w:lineRule="auto"/>
              <w:jc w:val="right"/>
            </w:pPr>
            <w:r>
              <w:rPr>
                <w:sz w:val="18"/>
              </w:rPr>
              <w:t>673.587,88</w:t>
            </w:r>
          </w:p>
        </w:tc>
        <w:tc>
          <w:tcPr>
            <w:tcW w:w="700" w:type="dxa"/>
            <w:tcMar>
              <w:top w:w="0" w:type="dxa"/>
              <w:bottom w:w="0" w:type="dxa"/>
            </w:tcMar>
            <w:vAlign w:val="center"/>
          </w:tcPr>
          <w:p w:rsidR="00E4472F" w:rsidRDefault="00000000">
            <w:pPr>
              <w:keepNext/>
              <w:keepLines/>
              <w:spacing w:after="0" w:line="240" w:lineRule="auto"/>
              <w:jc w:val="right"/>
            </w:pPr>
            <w:r>
              <w:rPr>
                <w:sz w:val="18"/>
              </w:rPr>
              <w:t>257,5</w:t>
            </w:r>
          </w:p>
        </w:tc>
      </w:tr>
    </w:tbl>
    <w:p w:rsidR="00E4472F" w:rsidRDefault="00E4472F">
      <w:pPr>
        <w:spacing w:after="0"/>
      </w:pPr>
    </w:p>
    <w:p w:rsidR="00E4472F" w:rsidRDefault="00000000">
      <w:pPr>
        <w:jc w:val="both"/>
      </w:pPr>
      <w:r>
        <w:t>Ostali financijski rashodi u 2025. godini iznosili su 673.587,88 eura, dok su u 2024. godini iznosili 261.583,80 eura, što predstavlja rast od 157,5 %. Značajno povećanje navedenih rashoda najvećim je dijelom posljedica rasta obračunatih zateznih zakonskih kamata.</w:t>
      </w:r>
    </w:p>
    <w:p w:rsidR="00E4472F" w:rsidRDefault="00E4472F"/>
    <w:p w:rsidR="00E4472F" w:rsidRDefault="00000000">
      <w:pPr>
        <w:keepNext/>
        <w:spacing w:line="240" w:lineRule="auto"/>
        <w:jc w:val="center"/>
      </w:pPr>
      <w:r>
        <w:rPr>
          <w:sz w:val="28"/>
        </w:rPr>
        <w:t>Bilješka 81.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3431</w:t>
            </w:r>
          </w:p>
        </w:tc>
        <w:tc>
          <w:tcPr>
            <w:tcW w:w="3180" w:type="dxa"/>
            <w:tcMar>
              <w:top w:w="0" w:type="dxa"/>
              <w:bottom w:w="0" w:type="dxa"/>
            </w:tcMar>
            <w:vAlign w:val="center"/>
          </w:tcPr>
          <w:p w:rsidR="00E4472F" w:rsidRDefault="00000000">
            <w:pPr>
              <w:keepNext/>
              <w:keepLines/>
              <w:spacing w:after="0" w:line="240" w:lineRule="auto"/>
            </w:pPr>
            <w:r>
              <w:rPr>
                <w:sz w:val="18"/>
              </w:rPr>
              <w:t>Bankarske usluge i usluge platnog prometa</w:t>
            </w:r>
          </w:p>
        </w:tc>
        <w:tc>
          <w:tcPr>
            <w:tcW w:w="700" w:type="dxa"/>
            <w:tcMar>
              <w:top w:w="0" w:type="dxa"/>
              <w:bottom w:w="0" w:type="dxa"/>
            </w:tcMar>
            <w:vAlign w:val="center"/>
          </w:tcPr>
          <w:p w:rsidR="00E4472F" w:rsidRDefault="00000000">
            <w:pPr>
              <w:keepNext/>
              <w:keepLines/>
              <w:spacing w:after="0" w:line="240" w:lineRule="auto"/>
            </w:pPr>
            <w:r>
              <w:rPr>
                <w:sz w:val="18"/>
              </w:rPr>
              <w:t>3431</w:t>
            </w:r>
          </w:p>
        </w:tc>
        <w:tc>
          <w:tcPr>
            <w:tcW w:w="1860" w:type="dxa"/>
            <w:tcMar>
              <w:top w:w="0" w:type="dxa"/>
              <w:bottom w:w="0" w:type="dxa"/>
            </w:tcMar>
            <w:vAlign w:val="center"/>
          </w:tcPr>
          <w:p w:rsidR="00E4472F" w:rsidRDefault="00000000">
            <w:pPr>
              <w:keepNext/>
              <w:keepLines/>
              <w:spacing w:after="0" w:line="240" w:lineRule="auto"/>
              <w:jc w:val="right"/>
            </w:pPr>
            <w:r>
              <w:rPr>
                <w:sz w:val="18"/>
              </w:rPr>
              <w:t>20.866,65</w:t>
            </w:r>
          </w:p>
        </w:tc>
        <w:tc>
          <w:tcPr>
            <w:tcW w:w="1860" w:type="dxa"/>
            <w:tcMar>
              <w:top w:w="0" w:type="dxa"/>
              <w:bottom w:w="0" w:type="dxa"/>
            </w:tcMar>
            <w:vAlign w:val="center"/>
          </w:tcPr>
          <w:p w:rsidR="00E4472F" w:rsidRDefault="00000000">
            <w:pPr>
              <w:keepNext/>
              <w:keepLines/>
              <w:spacing w:after="0" w:line="240" w:lineRule="auto"/>
              <w:jc w:val="right"/>
            </w:pPr>
            <w:r>
              <w:rPr>
                <w:sz w:val="18"/>
              </w:rPr>
              <w:t>17.909,51</w:t>
            </w:r>
          </w:p>
        </w:tc>
        <w:tc>
          <w:tcPr>
            <w:tcW w:w="700" w:type="dxa"/>
            <w:tcMar>
              <w:top w:w="0" w:type="dxa"/>
              <w:bottom w:w="0" w:type="dxa"/>
            </w:tcMar>
            <w:vAlign w:val="center"/>
          </w:tcPr>
          <w:p w:rsidR="00E4472F" w:rsidRDefault="00000000">
            <w:pPr>
              <w:keepNext/>
              <w:keepLines/>
              <w:spacing w:after="0" w:line="240" w:lineRule="auto"/>
              <w:jc w:val="right"/>
            </w:pPr>
            <w:r>
              <w:rPr>
                <w:sz w:val="18"/>
              </w:rPr>
              <w:t>85,8</w:t>
            </w:r>
          </w:p>
        </w:tc>
      </w:tr>
    </w:tbl>
    <w:p w:rsidR="00E4472F" w:rsidRDefault="00E4472F">
      <w:pPr>
        <w:spacing w:after="0"/>
      </w:pPr>
    </w:p>
    <w:p w:rsidR="00E4472F" w:rsidRDefault="00000000">
      <w:r>
        <w:t>Rashodi za bankarske usluge i usluge platnog prometa u 2025. godini iznosili su 17.909,51 eura, dok su u 2024. godini iznosili 20.866,65 eura, što predstavlja smanjenje od 14,2 % u odnosu na prethodnu godinu.</w:t>
      </w:r>
    </w:p>
    <w:p w:rsidR="00E4472F" w:rsidRDefault="00E4472F"/>
    <w:p w:rsidR="00E4472F" w:rsidRDefault="00000000">
      <w:pPr>
        <w:keepNext/>
        <w:spacing w:line="240" w:lineRule="auto"/>
        <w:jc w:val="center"/>
      </w:pPr>
      <w:r>
        <w:rPr>
          <w:sz w:val="28"/>
        </w:rPr>
        <w:t>Bilješka 82.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3433</w:t>
            </w:r>
          </w:p>
        </w:tc>
        <w:tc>
          <w:tcPr>
            <w:tcW w:w="3180" w:type="dxa"/>
            <w:tcMar>
              <w:top w:w="0" w:type="dxa"/>
              <w:bottom w:w="0" w:type="dxa"/>
            </w:tcMar>
            <w:vAlign w:val="center"/>
          </w:tcPr>
          <w:p w:rsidR="00E4472F" w:rsidRDefault="00000000">
            <w:pPr>
              <w:keepNext/>
              <w:keepLines/>
              <w:spacing w:after="0" w:line="240" w:lineRule="auto"/>
            </w:pPr>
            <w:r>
              <w:rPr>
                <w:sz w:val="18"/>
              </w:rPr>
              <w:t>Zatezne kamate</w:t>
            </w:r>
          </w:p>
        </w:tc>
        <w:tc>
          <w:tcPr>
            <w:tcW w:w="700" w:type="dxa"/>
            <w:tcMar>
              <w:top w:w="0" w:type="dxa"/>
              <w:bottom w:w="0" w:type="dxa"/>
            </w:tcMar>
            <w:vAlign w:val="center"/>
          </w:tcPr>
          <w:p w:rsidR="00E4472F" w:rsidRDefault="00000000">
            <w:pPr>
              <w:keepNext/>
              <w:keepLines/>
              <w:spacing w:after="0" w:line="240" w:lineRule="auto"/>
            </w:pPr>
            <w:r>
              <w:rPr>
                <w:sz w:val="18"/>
              </w:rPr>
              <w:t>3433</w:t>
            </w:r>
          </w:p>
        </w:tc>
        <w:tc>
          <w:tcPr>
            <w:tcW w:w="1860" w:type="dxa"/>
            <w:tcMar>
              <w:top w:w="0" w:type="dxa"/>
              <w:bottom w:w="0" w:type="dxa"/>
            </w:tcMar>
            <w:vAlign w:val="center"/>
          </w:tcPr>
          <w:p w:rsidR="00E4472F" w:rsidRDefault="00000000">
            <w:pPr>
              <w:keepNext/>
              <w:keepLines/>
              <w:spacing w:after="0" w:line="240" w:lineRule="auto"/>
              <w:jc w:val="right"/>
            </w:pPr>
            <w:r>
              <w:rPr>
                <w:sz w:val="18"/>
              </w:rPr>
              <w:t>240.701,61</w:t>
            </w:r>
          </w:p>
        </w:tc>
        <w:tc>
          <w:tcPr>
            <w:tcW w:w="1860" w:type="dxa"/>
            <w:tcMar>
              <w:top w:w="0" w:type="dxa"/>
              <w:bottom w:w="0" w:type="dxa"/>
            </w:tcMar>
            <w:vAlign w:val="center"/>
          </w:tcPr>
          <w:p w:rsidR="00E4472F" w:rsidRDefault="00000000">
            <w:pPr>
              <w:keepNext/>
              <w:keepLines/>
              <w:spacing w:after="0" w:line="240" w:lineRule="auto"/>
              <w:jc w:val="right"/>
            </w:pPr>
            <w:r>
              <w:rPr>
                <w:sz w:val="18"/>
              </w:rPr>
              <w:t>655.678,37</w:t>
            </w:r>
          </w:p>
        </w:tc>
        <w:tc>
          <w:tcPr>
            <w:tcW w:w="700" w:type="dxa"/>
            <w:tcMar>
              <w:top w:w="0" w:type="dxa"/>
              <w:bottom w:w="0" w:type="dxa"/>
            </w:tcMar>
            <w:vAlign w:val="center"/>
          </w:tcPr>
          <w:p w:rsidR="00E4472F" w:rsidRDefault="00000000">
            <w:pPr>
              <w:keepNext/>
              <w:keepLines/>
              <w:spacing w:after="0" w:line="240" w:lineRule="auto"/>
              <w:jc w:val="right"/>
            </w:pPr>
            <w:r>
              <w:rPr>
                <w:sz w:val="18"/>
              </w:rPr>
              <w:t>272,4</w:t>
            </w:r>
          </w:p>
        </w:tc>
      </w:tr>
    </w:tbl>
    <w:p w:rsidR="00E4472F" w:rsidRDefault="00E4472F">
      <w:pPr>
        <w:spacing w:after="0"/>
      </w:pPr>
    </w:p>
    <w:p w:rsidR="00E4472F" w:rsidRDefault="00000000">
      <w:pPr>
        <w:jc w:val="both"/>
      </w:pPr>
      <w:r>
        <w:t xml:space="preserve">Rashodi za zatezne kamate u 2025. godini iznosili su 655.678,37 eura, dok su u 2024. godini iznosili 240.701,61 eura, što predstavlja rast od 172,4 %. Povećanje navedenih rashoda prvenstveno se odnosi na zatezne kamate obračunate na nepravodobno podmirene dospjele </w:t>
      </w:r>
      <w:r>
        <w:lastRenderedPageBreak/>
        <w:t>obveze prema dobavljačima lijekova i medicinskog, kao i na kamate obračunate po osnovi prisilne naplate temeljem pravomoćnih sudskih presuda iz radnih odnosa.</w:t>
      </w:r>
    </w:p>
    <w:p w:rsidR="00E4472F" w:rsidRDefault="00E4472F"/>
    <w:p w:rsidR="00E4472F" w:rsidRDefault="00000000">
      <w:pPr>
        <w:keepNext/>
        <w:spacing w:line="240" w:lineRule="auto"/>
        <w:jc w:val="center"/>
      </w:pPr>
      <w:r>
        <w:rPr>
          <w:sz w:val="28"/>
        </w:rPr>
        <w:t>Bilješka 83.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38</w:t>
            </w:r>
          </w:p>
        </w:tc>
        <w:tc>
          <w:tcPr>
            <w:tcW w:w="3180" w:type="dxa"/>
            <w:tcMar>
              <w:top w:w="0" w:type="dxa"/>
              <w:bottom w:w="0" w:type="dxa"/>
            </w:tcMar>
            <w:vAlign w:val="center"/>
          </w:tcPr>
          <w:p w:rsidR="00E4472F" w:rsidRDefault="00000000">
            <w:pPr>
              <w:keepNext/>
              <w:keepLines/>
              <w:spacing w:after="0" w:line="240" w:lineRule="auto"/>
            </w:pPr>
            <w:r>
              <w:rPr>
                <w:sz w:val="18"/>
              </w:rPr>
              <w:t>Rashodi za donacije, kazne, naknade šteta i kapitalne pomoći (šifre 381+382+383+386)</w:t>
            </w:r>
          </w:p>
        </w:tc>
        <w:tc>
          <w:tcPr>
            <w:tcW w:w="700" w:type="dxa"/>
            <w:tcMar>
              <w:top w:w="0" w:type="dxa"/>
              <w:bottom w:w="0" w:type="dxa"/>
            </w:tcMar>
            <w:vAlign w:val="center"/>
          </w:tcPr>
          <w:p w:rsidR="00E4472F" w:rsidRDefault="00000000">
            <w:pPr>
              <w:keepNext/>
              <w:keepLines/>
              <w:spacing w:after="0" w:line="240" w:lineRule="auto"/>
            </w:pPr>
            <w:r>
              <w:rPr>
                <w:sz w:val="18"/>
              </w:rPr>
              <w:t>38</w:t>
            </w:r>
          </w:p>
        </w:tc>
        <w:tc>
          <w:tcPr>
            <w:tcW w:w="1860" w:type="dxa"/>
            <w:tcMar>
              <w:top w:w="0" w:type="dxa"/>
              <w:bottom w:w="0" w:type="dxa"/>
            </w:tcMar>
            <w:vAlign w:val="center"/>
          </w:tcPr>
          <w:p w:rsidR="00E4472F" w:rsidRDefault="00000000">
            <w:pPr>
              <w:keepNext/>
              <w:keepLines/>
              <w:spacing w:after="0" w:line="240" w:lineRule="auto"/>
              <w:jc w:val="right"/>
            </w:pPr>
            <w:r>
              <w:rPr>
                <w:sz w:val="18"/>
              </w:rPr>
              <w:t>679.324,20</w:t>
            </w:r>
          </w:p>
        </w:tc>
        <w:tc>
          <w:tcPr>
            <w:tcW w:w="1860" w:type="dxa"/>
            <w:tcMar>
              <w:top w:w="0" w:type="dxa"/>
              <w:bottom w:w="0" w:type="dxa"/>
            </w:tcMar>
            <w:vAlign w:val="center"/>
          </w:tcPr>
          <w:p w:rsidR="00E4472F" w:rsidRDefault="00000000">
            <w:pPr>
              <w:keepNext/>
              <w:keepLines/>
              <w:spacing w:after="0" w:line="240" w:lineRule="auto"/>
              <w:jc w:val="right"/>
            </w:pPr>
            <w:r>
              <w:rPr>
                <w:sz w:val="18"/>
              </w:rPr>
              <w:t>191.413,63</w:t>
            </w:r>
          </w:p>
        </w:tc>
        <w:tc>
          <w:tcPr>
            <w:tcW w:w="700" w:type="dxa"/>
            <w:tcMar>
              <w:top w:w="0" w:type="dxa"/>
              <w:bottom w:w="0" w:type="dxa"/>
            </w:tcMar>
            <w:vAlign w:val="center"/>
          </w:tcPr>
          <w:p w:rsidR="00E4472F" w:rsidRDefault="00000000">
            <w:pPr>
              <w:keepNext/>
              <w:keepLines/>
              <w:spacing w:after="0" w:line="240" w:lineRule="auto"/>
              <w:jc w:val="right"/>
            </w:pPr>
            <w:r>
              <w:rPr>
                <w:sz w:val="18"/>
              </w:rPr>
              <w:t>28,2</w:t>
            </w:r>
          </w:p>
        </w:tc>
      </w:tr>
    </w:tbl>
    <w:p w:rsidR="00E4472F" w:rsidRDefault="00E4472F">
      <w:pPr>
        <w:spacing w:after="0"/>
      </w:pPr>
    </w:p>
    <w:p w:rsidR="00E4472F" w:rsidRDefault="00000000">
      <w:pPr>
        <w:jc w:val="both"/>
      </w:pPr>
      <w:r>
        <w:t xml:space="preserve">Rashodi za donacije, kazne, naknade šteta i kapitalne pomoći u 2025. godini iznosili su 191.413,63 eura, dok su u 2024. godini iznosili 679.324,20 eura, što predstavlja značajno smanjenje u odnosu na prethodnu godinu. Sukladno izmjenama Pravilnika o proračunskom računovodstvu i računovodstvenom planu koje se primjenjuju od 1. siječnja 2025. godine, došlo je do preciznijeg razgraničenja rashoda unutar </w:t>
      </w:r>
      <w:proofErr w:type="spellStart"/>
      <w:r>
        <w:t>kontne</w:t>
      </w:r>
      <w:proofErr w:type="spellEnd"/>
      <w:r>
        <w:t xml:space="preserve"> skupine 38, pri čemu je smanjenje iskazanih rashoda u najvećoj mjeri rezultat stvarnog smanjenja naknada šteta pravnim i fizičkim osobama te zaposlenicima.</w:t>
      </w:r>
    </w:p>
    <w:p w:rsidR="00E4472F" w:rsidRDefault="00E4472F"/>
    <w:p w:rsidR="00E4472F" w:rsidRDefault="00000000">
      <w:pPr>
        <w:keepNext/>
        <w:spacing w:line="240" w:lineRule="auto"/>
        <w:jc w:val="center"/>
      </w:pPr>
      <w:r>
        <w:rPr>
          <w:sz w:val="28"/>
        </w:rPr>
        <w:t>Bilješka 84.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383</w:t>
            </w:r>
          </w:p>
        </w:tc>
        <w:tc>
          <w:tcPr>
            <w:tcW w:w="3180" w:type="dxa"/>
            <w:tcMar>
              <w:top w:w="0" w:type="dxa"/>
              <w:bottom w:w="0" w:type="dxa"/>
            </w:tcMar>
            <w:vAlign w:val="center"/>
          </w:tcPr>
          <w:p w:rsidR="00E4472F" w:rsidRDefault="00000000">
            <w:pPr>
              <w:keepNext/>
              <w:keepLines/>
              <w:spacing w:after="0" w:line="240" w:lineRule="auto"/>
            </w:pPr>
            <w:r>
              <w:rPr>
                <w:sz w:val="18"/>
              </w:rPr>
              <w:t>Kazne, penali i naknade štete (šifre 3831 do 3835)</w:t>
            </w:r>
          </w:p>
        </w:tc>
        <w:tc>
          <w:tcPr>
            <w:tcW w:w="700" w:type="dxa"/>
            <w:tcMar>
              <w:top w:w="0" w:type="dxa"/>
              <w:bottom w:w="0" w:type="dxa"/>
            </w:tcMar>
            <w:vAlign w:val="center"/>
          </w:tcPr>
          <w:p w:rsidR="00E4472F" w:rsidRDefault="00000000">
            <w:pPr>
              <w:keepNext/>
              <w:keepLines/>
              <w:spacing w:after="0" w:line="240" w:lineRule="auto"/>
            </w:pPr>
            <w:r>
              <w:rPr>
                <w:sz w:val="18"/>
              </w:rPr>
              <w:t>383</w:t>
            </w:r>
          </w:p>
        </w:tc>
        <w:tc>
          <w:tcPr>
            <w:tcW w:w="1860" w:type="dxa"/>
            <w:tcMar>
              <w:top w:w="0" w:type="dxa"/>
              <w:bottom w:w="0" w:type="dxa"/>
            </w:tcMar>
            <w:vAlign w:val="center"/>
          </w:tcPr>
          <w:p w:rsidR="00E4472F" w:rsidRDefault="00000000">
            <w:pPr>
              <w:keepNext/>
              <w:keepLines/>
              <w:spacing w:after="0" w:line="240" w:lineRule="auto"/>
              <w:jc w:val="right"/>
            </w:pPr>
            <w:r>
              <w:rPr>
                <w:sz w:val="18"/>
              </w:rPr>
              <w:t>679.324,20</w:t>
            </w:r>
          </w:p>
        </w:tc>
        <w:tc>
          <w:tcPr>
            <w:tcW w:w="1860" w:type="dxa"/>
            <w:tcMar>
              <w:top w:w="0" w:type="dxa"/>
              <w:bottom w:w="0" w:type="dxa"/>
            </w:tcMar>
            <w:vAlign w:val="center"/>
          </w:tcPr>
          <w:p w:rsidR="00E4472F" w:rsidRDefault="00000000">
            <w:pPr>
              <w:keepNext/>
              <w:keepLines/>
              <w:spacing w:after="0" w:line="240" w:lineRule="auto"/>
              <w:jc w:val="right"/>
            </w:pPr>
            <w:r>
              <w:rPr>
                <w:sz w:val="18"/>
              </w:rPr>
              <w:t>191.413,63</w:t>
            </w:r>
          </w:p>
        </w:tc>
        <w:tc>
          <w:tcPr>
            <w:tcW w:w="700" w:type="dxa"/>
            <w:tcMar>
              <w:top w:w="0" w:type="dxa"/>
              <w:bottom w:w="0" w:type="dxa"/>
            </w:tcMar>
            <w:vAlign w:val="center"/>
          </w:tcPr>
          <w:p w:rsidR="00E4472F" w:rsidRDefault="00000000">
            <w:pPr>
              <w:keepNext/>
              <w:keepLines/>
              <w:spacing w:after="0" w:line="240" w:lineRule="auto"/>
              <w:jc w:val="right"/>
            </w:pPr>
            <w:r>
              <w:rPr>
                <w:sz w:val="18"/>
              </w:rPr>
              <w:t>28,2</w:t>
            </w:r>
          </w:p>
        </w:tc>
      </w:tr>
    </w:tbl>
    <w:p w:rsidR="00E4472F" w:rsidRDefault="00E4472F">
      <w:pPr>
        <w:spacing w:after="0"/>
      </w:pPr>
    </w:p>
    <w:p w:rsidR="00E4472F" w:rsidRDefault="00000000">
      <w:pPr>
        <w:jc w:val="both"/>
      </w:pPr>
      <w:r>
        <w:t>Rashodi po osnovi kazni, penala i naknada štete (konto 383) u 2025. godini iznose 191.413,63 eura, što predstavlja smanjenje od 71,8 % u odnosu na 2024. godinu, kada su iznosili 679.324,20 eura. </w:t>
      </w:r>
    </w:p>
    <w:p w:rsidR="00E4472F" w:rsidRDefault="00E4472F"/>
    <w:p w:rsidR="00E4472F" w:rsidRDefault="00000000">
      <w:pPr>
        <w:keepNext/>
        <w:spacing w:line="240" w:lineRule="auto"/>
        <w:jc w:val="center"/>
      </w:pPr>
      <w:r>
        <w:rPr>
          <w:sz w:val="28"/>
        </w:rPr>
        <w:t>Bilješka 85.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3831</w:t>
            </w:r>
          </w:p>
        </w:tc>
        <w:tc>
          <w:tcPr>
            <w:tcW w:w="3180" w:type="dxa"/>
            <w:tcMar>
              <w:top w:w="0" w:type="dxa"/>
              <w:bottom w:w="0" w:type="dxa"/>
            </w:tcMar>
            <w:vAlign w:val="center"/>
          </w:tcPr>
          <w:p w:rsidR="00E4472F" w:rsidRDefault="00000000">
            <w:pPr>
              <w:keepNext/>
              <w:keepLines/>
              <w:spacing w:after="0" w:line="240" w:lineRule="auto"/>
            </w:pPr>
            <w:r>
              <w:rPr>
                <w:sz w:val="18"/>
              </w:rPr>
              <w:t>Naknade šteta pravnim i fizičkim osobama</w:t>
            </w:r>
          </w:p>
        </w:tc>
        <w:tc>
          <w:tcPr>
            <w:tcW w:w="700" w:type="dxa"/>
            <w:tcMar>
              <w:top w:w="0" w:type="dxa"/>
              <w:bottom w:w="0" w:type="dxa"/>
            </w:tcMar>
            <w:vAlign w:val="center"/>
          </w:tcPr>
          <w:p w:rsidR="00E4472F" w:rsidRDefault="00000000">
            <w:pPr>
              <w:keepNext/>
              <w:keepLines/>
              <w:spacing w:after="0" w:line="240" w:lineRule="auto"/>
            </w:pPr>
            <w:r>
              <w:rPr>
                <w:sz w:val="18"/>
              </w:rPr>
              <w:t>3831</w:t>
            </w:r>
          </w:p>
        </w:tc>
        <w:tc>
          <w:tcPr>
            <w:tcW w:w="1860" w:type="dxa"/>
            <w:tcMar>
              <w:top w:w="0" w:type="dxa"/>
              <w:bottom w:w="0" w:type="dxa"/>
            </w:tcMar>
            <w:vAlign w:val="center"/>
          </w:tcPr>
          <w:p w:rsidR="00E4472F" w:rsidRDefault="00000000">
            <w:pPr>
              <w:keepNext/>
              <w:keepLines/>
              <w:spacing w:after="0" w:line="240" w:lineRule="auto"/>
              <w:jc w:val="right"/>
            </w:pPr>
            <w:r>
              <w:rPr>
                <w:sz w:val="18"/>
              </w:rPr>
              <w:t>433.930,85</w:t>
            </w:r>
          </w:p>
        </w:tc>
        <w:tc>
          <w:tcPr>
            <w:tcW w:w="1860" w:type="dxa"/>
            <w:tcMar>
              <w:top w:w="0" w:type="dxa"/>
              <w:bottom w:w="0" w:type="dxa"/>
            </w:tcMar>
            <w:vAlign w:val="center"/>
          </w:tcPr>
          <w:p w:rsidR="00E4472F" w:rsidRDefault="00000000">
            <w:pPr>
              <w:keepNext/>
              <w:keepLines/>
              <w:spacing w:after="0" w:line="240" w:lineRule="auto"/>
              <w:jc w:val="right"/>
            </w:pPr>
            <w:r>
              <w:rPr>
                <w:sz w:val="18"/>
              </w:rPr>
              <w:t>172.637,26</w:t>
            </w:r>
          </w:p>
        </w:tc>
        <w:tc>
          <w:tcPr>
            <w:tcW w:w="700" w:type="dxa"/>
            <w:tcMar>
              <w:top w:w="0" w:type="dxa"/>
              <w:bottom w:w="0" w:type="dxa"/>
            </w:tcMar>
            <w:vAlign w:val="center"/>
          </w:tcPr>
          <w:p w:rsidR="00E4472F" w:rsidRDefault="00000000">
            <w:pPr>
              <w:keepNext/>
              <w:keepLines/>
              <w:spacing w:after="0" w:line="240" w:lineRule="auto"/>
              <w:jc w:val="right"/>
            </w:pPr>
            <w:r>
              <w:rPr>
                <w:sz w:val="18"/>
              </w:rPr>
              <w:t>39,8</w:t>
            </w:r>
          </w:p>
        </w:tc>
      </w:tr>
    </w:tbl>
    <w:p w:rsidR="00E4472F" w:rsidRDefault="00E4472F">
      <w:pPr>
        <w:spacing w:after="0"/>
      </w:pPr>
    </w:p>
    <w:p w:rsidR="00E4472F" w:rsidRDefault="00000000">
      <w:pPr>
        <w:jc w:val="both"/>
      </w:pPr>
      <w:r>
        <w:t>Naknade šteta pravnim i fizičkim osobama u 2025. godini iznosile su 172.637,26 eura, dok su u 2024. godini iznosile 433.930,85 eura, što predstavlja smanjenje od 60,2 % u odnosu na prethodnu godinu. Smanjenje navedenih rashoda posljedica je smanjenja broja postupaka u odnosu na 2024. godinu.</w:t>
      </w:r>
    </w:p>
    <w:p w:rsidR="00E4472F" w:rsidRDefault="00E4472F"/>
    <w:p w:rsidR="00E4472F" w:rsidRDefault="00000000">
      <w:pPr>
        <w:keepNext/>
        <w:spacing w:line="240" w:lineRule="auto"/>
        <w:jc w:val="center"/>
      </w:pPr>
      <w:r>
        <w:rPr>
          <w:sz w:val="28"/>
        </w:rPr>
        <w:lastRenderedPageBreak/>
        <w:t>Bilješka 86.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3833</w:t>
            </w:r>
          </w:p>
        </w:tc>
        <w:tc>
          <w:tcPr>
            <w:tcW w:w="3180" w:type="dxa"/>
            <w:tcMar>
              <w:top w:w="0" w:type="dxa"/>
              <w:bottom w:w="0" w:type="dxa"/>
            </w:tcMar>
            <w:vAlign w:val="center"/>
          </w:tcPr>
          <w:p w:rsidR="00E4472F" w:rsidRDefault="00000000">
            <w:pPr>
              <w:keepNext/>
              <w:keepLines/>
              <w:spacing w:after="0" w:line="240" w:lineRule="auto"/>
            </w:pPr>
            <w:r>
              <w:rPr>
                <w:sz w:val="18"/>
              </w:rPr>
              <w:t>Naknade šteta zaposlenicima</w:t>
            </w:r>
          </w:p>
        </w:tc>
        <w:tc>
          <w:tcPr>
            <w:tcW w:w="700" w:type="dxa"/>
            <w:tcMar>
              <w:top w:w="0" w:type="dxa"/>
              <w:bottom w:w="0" w:type="dxa"/>
            </w:tcMar>
            <w:vAlign w:val="center"/>
          </w:tcPr>
          <w:p w:rsidR="00E4472F" w:rsidRDefault="00000000">
            <w:pPr>
              <w:keepNext/>
              <w:keepLines/>
              <w:spacing w:after="0" w:line="240" w:lineRule="auto"/>
            </w:pPr>
            <w:r>
              <w:rPr>
                <w:sz w:val="18"/>
              </w:rPr>
              <w:t>3833</w:t>
            </w:r>
          </w:p>
        </w:tc>
        <w:tc>
          <w:tcPr>
            <w:tcW w:w="1860" w:type="dxa"/>
            <w:tcMar>
              <w:top w:w="0" w:type="dxa"/>
              <w:bottom w:w="0" w:type="dxa"/>
            </w:tcMar>
            <w:vAlign w:val="center"/>
          </w:tcPr>
          <w:p w:rsidR="00E4472F" w:rsidRDefault="00000000">
            <w:pPr>
              <w:keepNext/>
              <w:keepLines/>
              <w:spacing w:after="0" w:line="240" w:lineRule="auto"/>
              <w:jc w:val="right"/>
            </w:pPr>
            <w:r>
              <w:rPr>
                <w:sz w:val="18"/>
              </w:rPr>
              <w:t>242.630,02</w:t>
            </w:r>
          </w:p>
        </w:tc>
        <w:tc>
          <w:tcPr>
            <w:tcW w:w="1860" w:type="dxa"/>
            <w:tcMar>
              <w:top w:w="0" w:type="dxa"/>
              <w:bottom w:w="0" w:type="dxa"/>
            </w:tcMar>
            <w:vAlign w:val="center"/>
          </w:tcPr>
          <w:p w:rsidR="00E4472F" w:rsidRDefault="00000000">
            <w:pPr>
              <w:keepNext/>
              <w:keepLines/>
              <w:spacing w:after="0" w:line="240" w:lineRule="auto"/>
              <w:jc w:val="right"/>
            </w:pPr>
            <w:r>
              <w:rPr>
                <w:sz w:val="18"/>
              </w:rPr>
              <w:t>18.776,37</w:t>
            </w:r>
          </w:p>
        </w:tc>
        <w:tc>
          <w:tcPr>
            <w:tcW w:w="700" w:type="dxa"/>
            <w:tcMar>
              <w:top w:w="0" w:type="dxa"/>
              <w:bottom w:w="0" w:type="dxa"/>
            </w:tcMar>
            <w:vAlign w:val="center"/>
          </w:tcPr>
          <w:p w:rsidR="00E4472F" w:rsidRDefault="00000000">
            <w:pPr>
              <w:keepNext/>
              <w:keepLines/>
              <w:spacing w:after="0" w:line="240" w:lineRule="auto"/>
              <w:jc w:val="right"/>
            </w:pPr>
            <w:r>
              <w:rPr>
                <w:sz w:val="18"/>
              </w:rPr>
              <w:t>7,7</w:t>
            </w:r>
          </w:p>
        </w:tc>
      </w:tr>
    </w:tbl>
    <w:p w:rsidR="00E4472F" w:rsidRDefault="00E4472F">
      <w:pPr>
        <w:spacing w:after="0"/>
      </w:pPr>
    </w:p>
    <w:p w:rsidR="00E4472F" w:rsidRDefault="00000000">
      <w:pPr>
        <w:jc w:val="both"/>
      </w:pPr>
      <w:r>
        <w:t>Naknade šteta zaposlenicima u 2025. godini iznosile su 18.776,37 eura, dok su u 2024. godini iznosile 242.630,02 eura, što predstavlja smanjenje od 92,3 % u odnosu na prethodnu godinu. Smanjenje navedenih rashoda posljedica je završetka većine postupaka vezanih uz naknade šteta zaposlenicima u prethodnom razdoblju.</w:t>
      </w:r>
    </w:p>
    <w:p w:rsidR="00E4472F" w:rsidRDefault="00E4472F"/>
    <w:p w:rsidR="00E4472F" w:rsidRDefault="00000000">
      <w:pPr>
        <w:keepNext/>
        <w:spacing w:line="240" w:lineRule="auto"/>
        <w:jc w:val="center"/>
      </w:pPr>
      <w:r>
        <w:rPr>
          <w:sz w:val="28"/>
        </w:rPr>
        <w:t>Bilješka 87.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4</w:t>
            </w:r>
          </w:p>
        </w:tc>
        <w:tc>
          <w:tcPr>
            <w:tcW w:w="3180" w:type="dxa"/>
            <w:tcMar>
              <w:top w:w="0" w:type="dxa"/>
              <w:bottom w:w="0" w:type="dxa"/>
            </w:tcMar>
            <w:vAlign w:val="center"/>
          </w:tcPr>
          <w:p w:rsidR="00E4472F" w:rsidRDefault="00000000">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rsidR="00E4472F" w:rsidRDefault="00000000">
            <w:pPr>
              <w:keepNext/>
              <w:keepLines/>
              <w:spacing w:after="0" w:line="240" w:lineRule="auto"/>
            </w:pPr>
            <w:r>
              <w:rPr>
                <w:sz w:val="18"/>
              </w:rPr>
              <w:t>4</w:t>
            </w:r>
          </w:p>
        </w:tc>
        <w:tc>
          <w:tcPr>
            <w:tcW w:w="1860" w:type="dxa"/>
            <w:tcMar>
              <w:top w:w="0" w:type="dxa"/>
              <w:bottom w:w="0" w:type="dxa"/>
            </w:tcMar>
            <w:vAlign w:val="center"/>
          </w:tcPr>
          <w:p w:rsidR="00E4472F" w:rsidRDefault="00000000">
            <w:pPr>
              <w:keepNext/>
              <w:keepLines/>
              <w:spacing w:after="0" w:line="240" w:lineRule="auto"/>
              <w:jc w:val="right"/>
            </w:pPr>
            <w:r>
              <w:rPr>
                <w:sz w:val="18"/>
              </w:rPr>
              <w:t>2.639.403,66</w:t>
            </w:r>
          </w:p>
        </w:tc>
        <w:tc>
          <w:tcPr>
            <w:tcW w:w="1860" w:type="dxa"/>
            <w:tcMar>
              <w:top w:w="0" w:type="dxa"/>
              <w:bottom w:w="0" w:type="dxa"/>
            </w:tcMar>
            <w:vAlign w:val="center"/>
          </w:tcPr>
          <w:p w:rsidR="00E4472F" w:rsidRDefault="00000000">
            <w:pPr>
              <w:keepNext/>
              <w:keepLines/>
              <w:spacing w:after="0" w:line="240" w:lineRule="auto"/>
              <w:jc w:val="right"/>
            </w:pPr>
            <w:r>
              <w:rPr>
                <w:sz w:val="18"/>
              </w:rPr>
              <w:t>3.567.436,72</w:t>
            </w:r>
          </w:p>
        </w:tc>
        <w:tc>
          <w:tcPr>
            <w:tcW w:w="700" w:type="dxa"/>
            <w:tcMar>
              <w:top w:w="0" w:type="dxa"/>
              <w:bottom w:w="0" w:type="dxa"/>
            </w:tcMar>
            <w:vAlign w:val="center"/>
          </w:tcPr>
          <w:p w:rsidR="00E4472F" w:rsidRDefault="00000000">
            <w:pPr>
              <w:keepNext/>
              <w:keepLines/>
              <w:spacing w:after="0" w:line="240" w:lineRule="auto"/>
              <w:jc w:val="right"/>
            </w:pPr>
            <w:r>
              <w:rPr>
                <w:sz w:val="18"/>
              </w:rPr>
              <w:t>135,2</w:t>
            </w:r>
          </w:p>
        </w:tc>
      </w:tr>
    </w:tbl>
    <w:p w:rsidR="00E4472F" w:rsidRDefault="00E4472F">
      <w:pPr>
        <w:spacing w:after="0"/>
      </w:pPr>
    </w:p>
    <w:p w:rsidR="00E4472F" w:rsidRDefault="00000000">
      <w:pPr>
        <w:jc w:val="both"/>
      </w:pPr>
      <w:r>
        <w:t>Rashodi za nabavu nefinancijske imovine u 2025. godini iznosili su 3.567.436,72 eura, dok su u 2024. godini iznosili 2.639.403,66 eura, što predstavlja rast od 35,2 %. Povećanje navedenih rashoda prvenstveno je rezultat povećane nabave medicinske opreme.</w:t>
      </w:r>
    </w:p>
    <w:p w:rsidR="00E4472F" w:rsidRDefault="00E4472F"/>
    <w:p w:rsidR="00E4472F" w:rsidRDefault="00000000">
      <w:pPr>
        <w:keepNext/>
        <w:spacing w:line="240" w:lineRule="auto"/>
        <w:jc w:val="center"/>
      </w:pPr>
      <w:r>
        <w:rPr>
          <w:sz w:val="28"/>
        </w:rPr>
        <w:t>Bilješka 88.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422</w:t>
            </w:r>
          </w:p>
        </w:tc>
        <w:tc>
          <w:tcPr>
            <w:tcW w:w="3180" w:type="dxa"/>
            <w:tcMar>
              <w:top w:w="0" w:type="dxa"/>
              <w:bottom w:w="0" w:type="dxa"/>
            </w:tcMar>
            <w:vAlign w:val="center"/>
          </w:tcPr>
          <w:p w:rsidR="00E4472F" w:rsidRDefault="00000000">
            <w:pPr>
              <w:keepNext/>
              <w:keepLines/>
              <w:spacing w:after="0" w:line="240" w:lineRule="auto"/>
            </w:pPr>
            <w:r>
              <w:rPr>
                <w:sz w:val="18"/>
              </w:rPr>
              <w:t>Postrojenja i oprema (šifre 4221 do 4228)</w:t>
            </w:r>
          </w:p>
        </w:tc>
        <w:tc>
          <w:tcPr>
            <w:tcW w:w="700" w:type="dxa"/>
            <w:tcMar>
              <w:top w:w="0" w:type="dxa"/>
              <w:bottom w:w="0" w:type="dxa"/>
            </w:tcMar>
            <w:vAlign w:val="center"/>
          </w:tcPr>
          <w:p w:rsidR="00E4472F" w:rsidRDefault="00000000">
            <w:pPr>
              <w:keepNext/>
              <w:keepLines/>
              <w:spacing w:after="0" w:line="240" w:lineRule="auto"/>
            </w:pPr>
            <w:r>
              <w:rPr>
                <w:sz w:val="18"/>
              </w:rPr>
              <w:t>422</w:t>
            </w:r>
          </w:p>
        </w:tc>
        <w:tc>
          <w:tcPr>
            <w:tcW w:w="1860" w:type="dxa"/>
            <w:tcMar>
              <w:top w:w="0" w:type="dxa"/>
              <w:bottom w:w="0" w:type="dxa"/>
            </w:tcMar>
            <w:vAlign w:val="center"/>
          </w:tcPr>
          <w:p w:rsidR="00E4472F" w:rsidRDefault="00000000">
            <w:pPr>
              <w:keepNext/>
              <w:keepLines/>
              <w:spacing w:after="0" w:line="240" w:lineRule="auto"/>
              <w:jc w:val="right"/>
            </w:pPr>
            <w:r>
              <w:rPr>
                <w:sz w:val="18"/>
              </w:rPr>
              <w:t>2.595.641,10</w:t>
            </w:r>
          </w:p>
        </w:tc>
        <w:tc>
          <w:tcPr>
            <w:tcW w:w="1860" w:type="dxa"/>
            <w:tcMar>
              <w:top w:w="0" w:type="dxa"/>
              <w:bottom w:w="0" w:type="dxa"/>
            </w:tcMar>
            <w:vAlign w:val="center"/>
          </w:tcPr>
          <w:p w:rsidR="00E4472F" w:rsidRDefault="00000000">
            <w:pPr>
              <w:keepNext/>
              <w:keepLines/>
              <w:spacing w:after="0" w:line="240" w:lineRule="auto"/>
              <w:jc w:val="right"/>
            </w:pPr>
            <w:r>
              <w:rPr>
                <w:sz w:val="18"/>
              </w:rPr>
              <w:t>3.413.720,85</w:t>
            </w:r>
          </w:p>
        </w:tc>
        <w:tc>
          <w:tcPr>
            <w:tcW w:w="700" w:type="dxa"/>
            <w:tcMar>
              <w:top w:w="0" w:type="dxa"/>
              <w:bottom w:w="0" w:type="dxa"/>
            </w:tcMar>
            <w:vAlign w:val="center"/>
          </w:tcPr>
          <w:p w:rsidR="00E4472F" w:rsidRDefault="00000000">
            <w:pPr>
              <w:keepNext/>
              <w:keepLines/>
              <w:spacing w:after="0" w:line="240" w:lineRule="auto"/>
              <w:jc w:val="right"/>
            </w:pPr>
            <w:r>
              <w:rPr>
                <w:sz w:val="18"/>
              </w:rPr>
              <w:t>131,5</w:t>
            </w:r>
          </w:p>
        </w:tc>
      </w:tr>
    </w:tbl>
    <w:p w:rsidR="00E4472F" w:rsidRDefault="00E4472F">
      <w:pPr>
        <w:spacing w:after="0"/>
      </w:pPr>
    </w:p>
    <w:p w:rsidR="00E4472F" w:rsidRDefault="00000000">
      <w:r>
        <w:t>Rashodi za uredsku opremu i namještaj u 2025. godini iznosili su 181.579,00 eura, dok su u 2024. godini iznosili 142.954,14 eura, što predstavlja rast od 27,0 % u odnosu na prethodnu godinu. Iznos od 159.436,45 eura odnosi se na nabavu računala i računalne opreme, dok se 22.142,55 eura odnosi na nabavu uredskog namještaja.</w:t>
      </w:r>
    </w:p>
    <w:p w:rsidR="00E4472F" w:rsidRDefault="00E4472F"/>
    <w:p w:rsidR="00E4472F" w:rsidRDefault="00000000">
      <w:pPr>
        <w:keepNext/>
        <w:spacing w:line="240" w:lineRule="auto"/>
        <w:jc w:val="center"/>
      </w:pPr>
      <w:r>
        <w:rPr>
          <w:sz w:val="28"/>
        </w:rPr>
        <w:t>Bilješka 89.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4221</w:t>
            </w:r>
          </w:p>
        </w:tc>
        <w:tc>
          <w:tcPr>
            <w:tcW w:w="3180" w:type="dxa"/>
            <w:tcMar>
              <w:top w:w="0" w:type="dxa"/>
              <w:bottom w:w="0" w:type="dxa"/>
            </w:tcMar>
            <w:vAlign w:val="center"/>
          </w:tcPr>
          <w:p w:rsidR="00E4472F" w:rsidRDefault="00000000">
            <w:pPr>
              <w:keepNext/>
              <w:keepLines/>
              <w:spacing w:after="0" w:line="240" w:lineRule="auto"/>
            </w:pPr>
            <w:r>
              <w:rPr>
                <w:sz w:val="18"/>
              </w:rPr>
              <w:t>Uredska oprema i namještaj</w:t>
            </w:r>
          </w:p>
        </w:tc>
        <w:tc>
          <w:tcPr>
            <w:tcW w:w="700" w:type="dxa"/>
            <w:tcMar>
              <w:top w:w="0" w:type="dxa"/>
              <w:bottom w:w="0" w:type="dxa"/>
            </w:tcMar>
            <w:vAlign w:val="center"/>
          </w:tcPr>
          <w:p w:rsidR="00E4472F" w:rsidRDefault="00000000">
            <w:pPr>
              <w:keepNext/>
              <w:keepLines/>
              <w:spacing w:after="0" w:line="240" w:lineRule="auto"/>
            </w:pPr>
            <w:r>
              <w:rPr>
                <w:sz w:val="18"/>
              </w:rPr>
              <w:t>4221</w:t>
            </w:r>
          </w:p>
        </w:tc>
        <w:tc>
          <w:tcPr>
            <w:tcW w:w="1860" w:type="dxa"/>
            <w:tcMar>
              <w:top w:w="0" w:type="dxa"/>
              <w:bottom w:w="0" w:type="dxa"/>
            </w:tcMar>
            <w:vAlign w:val="center"/>
          </w:tcPr>
          <w:p w:rsidR="00E4472F" w:rsidRDefault="00000000">
            <w:pPr>
              <w:keepNext/>
              <w:keepLines/>
              <w:spacing w:after="0" w:line="240" w:lineRule="auto"/>
              <w:jc w:val="right"/>
            </w:pPr>
            <w:r>
              <w:rPr>
                <w:sz w:val="18"/>
              </w:rPr>
              <w:t>142.954,14</w:t>
            </w:r>
          </w:p>
        </w:tc>
        <w:tc>
          <w:tcPr>
            <w:tcW w:w="1860" w:type="dxa"/>
            <w:tcMar>
              <w:top w:w="0" w:type="dxa"/>
              <w:bottom w:w="0" w:type="dxa"/>
            </w:tcMar>
            <w:vAlign w:val="center"/>
          </w:tcPr>
          <w:p w:rsidR="00E4472F" w:rsidRDefault="00000000">
            <w:pPr>
              <w:keepNext/>
              <w:keepLines/>
              <w:spacing w:after="0" w:line="240" w:lineRule="auto"/>
              <w:jc w:val="right"/>
            </w:pPr>
            <w:r>
              <w:rPr>
                <w:sz w:val="18"/>
              </w:rPr>
              <w:t>181.579,00</w:t>
            </w:r>
          </w:p>
        </w:tc>
        <w:tc>
          <w:tcPr>
            <w:tcW w:w="700" w:type="dxa"/>
            <w:tcMar>
              <w:top w:w="0" w:type="dxa"/>
              <w:bottom w:w="0" w:type="dxa"/>
            </w:tcMar>
            <w:vAlign w:val="center"/>
          </w:tcPr>
          <w:p w:rsidR="00E4472F" w:rsidRDefault="00000000">
            <w:pPr>
              <w:keepNext/>
              <w:keepLines/>
              <w:spacing w:after="0" w:line="240" w:lineRule="auto"/>
              <w:jc w:val="right"/>
            </w:pPr>
            <w:r>
              <w:rPr>
                <w:sz w:val="18"/>
              </w:rPr>
              <w:t>127,0</w:t>
            </w:r>
          </w:p>
        </w:tc>
      </w:tr>
    </w:tbl>
    <w:p w:rsidR="00E4472F" w:rsidRDefault="00E4472F">
      <w:pPr>
        <w:spacing w:after="0"/>
      </w:pPr>
    </w:p>
    <w:p w:rsidR="00E4472F" w:rsidRDefault="00000000">
      <w:pPr>
        <w:jc w:val="both"/>
      </w:pPr>
      <w:r>
        <w:lastRenderedPageBreak/>
        <w:t>Rashodi za uredsku opremu i namještaj u 2025. godini iznosili su 181.579,00 eura, dok su u 2024. godini iznosili 142.954,14 eura, što predstavlja rast od 27,0 % u odnosu na prethodnu godinu. Iznos od 159.436,45 eura odnosi se na nabavu računala i računalne opreme, dok se 22.142,55 eura odnosi na nabavu uredskog namještaja.</w:t>
      </w:r>
    </w:p>
    <w:p w:rsidR="00E4472F" w:rsidRDefault="00E4472F"/>
    <w:p w:rsidR="00E4472F" w:rsidRDefault="00000000">
      <w:pPr>
        <w:keepNext/>
        <w:spacing w:line="240" w:lineRule="auto"/>
        <w:jc w:val="center"/>
      </w:pPr>
      <w:r>
        <w:rPr>
          <w:sz w:val="28"/>
        </w:rPr>
        <w:t>Bilješka 90.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4223</w:t>
            </w:r>
          </w:p>
        </w:tc>
        <w:tc>
          <w:tcPr>
            <w:tcW w:w="3180" w:type="dxa"/>
            <w:tcMar>
              <w:top w:w="0" w:type="dxa"/>
              <w:bottom w:w="0" w:type="dxa"/>
            </w:tcMar>
            <w:vAlign w:val="center"/>
          </w:tcPr>
          <w:p w:rsidR="00E4472F" w:rsidRDefault="00000000">
            <w:pPr>
              <w:keepNext/>
              <w:keepLines/>
              <w:spacing w:after="0" w:line="240" w:lineRule="auto"/>
            </w:pPr>
            <w:r>
              <w:rPr>
                <w:sz w:val="18"/>
              </w:rPr>
              <w:t>Oprema za održavanje i zaštitu</w:t>
            </w:r>
          </w:p>
        </w:tc>
        <w:tc>
          <w:tcPr>
            <w:tcW w:w="700" w:type="dxa"/>
            <w:tcMar>
              <w:top w:w="0" w:type="dxa"/>
              <w:bottom w:w="0" w:type="dxa"/>
            </w:tcMar>
            <w:vAlign w:val="center"/>
          </w:tcPr>
          <w:p w:rsidR="00E4472F" w:rsidRDefault="00000000">
            <w:pPr>
              <w:keepNext/>
              <w:keepLines/>
              <w:spacing w:after="0" w:line="240" w:lineRule="auto"/>
            </w:pPr>
            <w:r>
              <w:rPr>
                <w:sz w:val="18"/>
              </w:rPr>
              <w:t>4223</w:t>
            </w:r>
          </w:p>
        </w:tc>
        <w:tc>
          <w:tcPr>
            <w:tcW w:w="1860" w:type="dxa"/>
            <w:tcMar>
              <w:top w:w="0" w:type="dxa"/>
              <w:bottom w:w="0" w:type="dxa"/>
            </w:tcMar>
            <w:vAlign w:val="center"/>
          </w:tcPr>
          <w:p w:rsidR="00E4472F" w:rsidRDefault="00000000">
            <w:pPr>
              <w:keepNext/>
              <w:keepLines/>
              <w:spacing w:after="0" w:line="240" w:lineRule="auto"/>
              <w:jc w:val="right"/>
            </w:pPr>
            <w:r>
              <w:rPr>
                <w:sz w:val="18"/>
              </w:rPr>
              <w:t>15.518,03</w:t>
            </w:r>
          </w:p>
        </w:tc>
        <w:tc>
          <w:tcPr>
            <w:tcW w:w="1860" w:type="dxa"/>
            <w:tcMar>
              <w:top w:w="0" w:type="dxa"/>
              <w:bottom w:w="0" w:type="dxa"/>
            </w:tcMar>
            <w:vAlign w:val="center"/>
          </w:tcPr>
          <w:p w:rsidR="00E4472F" w:rsidRDefault="00000000">
            <w:pPr>
              <w:keepNext/>
              <w:keepLines/>
              <w:spacing w:after="0" w:line="240" w:lineRule="auto"/>
              <w:jc w:val="right"/>
            </w:pPr>
            <w:r>
              <w:rPr>
                <w:sz w:val="18"/>
              </w:rPr>
              <w:t>19.556,40</w:t>
            </w:r>
          </w:p>
        </w:tc>
        <w:tc>
          <w:tcPr>
            <w:tcW w:w="700" w:type="dxa"/>
            <w:tcMar>
              <w:top w:w="0" w:type="dxa"/>
              <w:bottom w:w="0" w:type="dxa"/>
            </w:tcMar>
            <w:vAlign w:val="center"/>
          </w:tcPr>
          <w:p w:rsidR="00E4472F" w:rsidRDefault="00000000">
            <w:pPr>
              <w:keepNext/>
              <w:keepLines/>
              <w:spacing w:after="0" w:line="240" w:lineRule="auto"/>
              <w:jc w:val="right"/>
            </w:pPr>
            <w:r>
              <w:rPr>
                <w:sz w:val="18"/>
              </w:rPr>
              <w:t>126,0</w:t>
            </w:r>
          </w:p>
        </w:tc>
      </w:tr>
    </w:tbl>
    <w:p w:rsidR="00E4472F" w:rsidRDefault="00E4472F">
      <w:pPr>
        <w:spacing w:after="0"/>
      </w:pPr>
    </w:p>
    <w:p w:rsidR="00E4472F" w:rsidRDefault="00000000">
      <w:r>
        <w:t>Rashodi za opremu za održavanje i zaštitu u 2025. godini iznosili su 19.556,40 eura, dok su u 2024. godini iznosili 15.518,03 eura, što predstavlja rast od 26,0 % u odnosu na prethodnu godinu.</w:t>
      </w:r>
    </w:p>
    <w:p w:rsidR="00E4472F" w:rsidRDefault="00E4472F"/>
    <w:p w:rsidR="00E4472F" w:rsidRDefault="00000000">
      <w:pPr>
        <w:keepNext/>
        <w:spacing w:line="240" w:lineRule="auto"/>
        <w:jc w:val="center"/>
      </w:pPr>
      <w:r>
        <w:rPr>
          <w:sz w:val="28"/>
        </w:rPr>
        <w:t>Bilješka 91.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4224</w:t>
            </w:r>
          </w:p>
        </w:tc>
        <w:tc>
          <w:tcPr>
            <w:tcW w:w="3180" w:type="dxa"/>
            <w:tcMar>
              <w:top w:w="0" w:type="dxa"/>
              <w:bottom w:w="0" w:type="dxa"/>
            </w:tcMar>
            <w:vAlign w:val="center"/>
          </w:tcPr>
          <w:p w:rsidR="00E4472F" w:rsidRDefault="00000000">
            <w:pPr>
              <w:keepNext/>
              <w:keepLines/>
              <w:spacing w:after="0" w:line="240" w:lineRule="auto"/>
            </w:pPr>
            <w:r>
              <w:rPr>
                <w:sz w:val="18"/>
              </w:rPr>
              <w:t>Medicinska i laboratorijska oprema</w:t>
            </w:r>
          </w:p>
        </w:tc>
        <w:tc>
          <w:tcPr>
            <w:tcW w:w="700" w:type="dxa"/>
            <w:tcMar>
              <w:top w:w="0" w:type="dxa"/>
              <w:bottom w:w="0" w:type="dxa"/>
            </w:tcMar>
            <w:vAlign w:val="center"/>
          </w:tcPr>
          <w:p w:rsidR="00E4472F" w:rsidRDefault="00000000">
            <w:pPr>
              <w:keepNext/>
              <w:keepLines/>
              <w:spacing w:after="0" w:line="240" w:lineRule="auto"/>
            </w:pPr>
            <w:r>
              <w:rPr>
                <w:sz w:val="18"/>
              </w:rPr>
              <w:t>4224</w:t>
            </w:r>
          </w:p>
        </w:tc>
        <w:tc>
          <w:tcPr>
            <w:tcW w:w="1860" w:type="dxa"/>
            <w:tcMar>
              <w:top w:w="0" w:type="dxa"/>
              <w:bottom w:w="0" w:type="dxa"/>
            </w:tcMar>
            <w:vAlign w:val="center"/>
          </w:tcPr>
          <w:p w:rsidR="00E4472F" w:rsidRDefault="00000000">
            <w:pPr>
              <w:keepNext/>
              <w:keepLines/>
              <w:spacing w:after="0" w:line="240" w:lineRule="auto"/>
              <w:jc w:val="right"/>
            </w:pPr>
            <w:r>
              <w:rPr>
                <w:sz w:val="18"/>
              </w:rPr>
              <w:t>2.401.349,02</w:t>
            </w:r>
          </w:p>
        </w:tc>
        <w:tc>
          <w:tcPr>
            <w:tcW w:w="1860" w:type="dxa"/>
            <w:tcMar>
              <w:top w:w="0" w:type="dxa"/>
              <w:bottom w:w="0" w:type="dxa"/>
            </w:tcMar>
            <w:vAlign w:val="center"/>
          </w:tcPr>
          <w:p w:rsidR="00E4472F" w:rsidRDefault="00000000">
            <w:pPr>
              <w:keepNext/>
              <w:keepLines/>
              <w:spacing w:after="0" w:line="240" w:lineRule="auto"/>
              <w:jc w:val="right"/>
            </w:pPr>
            <w:r>
              <w:rPr>
                <w:sz w:val="18"/>
              </w:rPr>
              <w:t>3.182.918,55</w:t>
            </w:r>
          </w:p>
        </w:tc>
        <w:tc>
          <w:tcPr>
            <w:tcW w:w="700" w:type="dxa"/>
            <w:tcMar>
              <w:top w:w="0" w:type="dxa"/>
              <w:bottom w:w="0" w:type="dxa"/>
            </w:tcMar>
            <w:vAlign w:val="center"/>
          </w:tcPr>
          <w:p w:rsidR="00E4472F" w:rsidRDefault="00000000">
            <w:pPr>
              <w:keepNext/>
              <w:keepLines/>
              <w:spacing w:after="0" w:line="240" w:lineRule="auto"/>
              <w:jc w:val="right"/>
            </w:pPr>
            <w:r>
              <w:rPr>
                <w:sz w:val="18"/>
              </w:rPr>
              <w:t>132,5</w:t>
            </w:r>
          </w:p>
        </w:tc>
      </w:tr>
    </w:tbl>
    <w:p w:rsidR="00E4472F" w:rsidRDefault="00E4472F">
      <w:pPr>
        <w:spacing w:after="0"/>
      </w:pPr>
    </w:p>
    <w:p w:rsidR="00E4472F" w:rsidRDefault="00000000">
      <w:pPr>
        <w:jc w:val="both"/>
      </w:pPr>
      <w:r>
        <w:t xml:space="preserve">Rashodi za medicinsku i laboratorijsku opremu u 2025. godini iznosili su 3.182.918,44 eura, dok su u 2024. godini iznosili 2.401.349,02 eura, što predstavlja rast od 32,5 % u odnosu na prethodnu godinu. Tijekom 2025. godine nabavljena je medicinska i laboratorijska oprema ukupne vrijednosti 3.797.128,49 eura. Najznačajnije pojedinačne nabave odnose se na CT uređaj s 256 detektorskih redova u vrijednosti od 1.232.397,00 eura, lasersku fundus kameru s integriranim OCT-om u vrijednosti od 250.000,00 eura, </w:t>
      </w:r>
      <w:proofErr w:type="spellStart"/>
      <w:r>
        <w:t>artroskopski</w:t>
      </w:r>
      <w:proofErr w:type="spellEnd"/>
      <w:r>
        <w:t xml:space="preserve"> stup u vrijednosti od 139.994,00 eura te FESS stup u vrijednosti od 99.700,00 eura. Nadalje, nabavljen je uređaj za kapilarnu </w:t>
      </w:r>
      <w:proofErr w:type="spellStart"/>
      <w:r>
        <w:t>elektroforezu</w:t>
      </w:r>
      <w:proofErr w:type="spellEnd"/>
      <w:r>
        <w:t xml:space="preserve"> – sekvencer u vrijednosti od 93.772,00 eura, </w:t>
      </w:r>
      <w:proofErr w:type="spellStart"/>
      <w:r>
        <w:t>elektrofiziološka</w:t>
      </w:r>
      <w:proofErr w:type="spellEnd"/>
      <w:r>
        <w:t xml:space="preserve"> stanica u vrijednosti od 87.375,00 eura, anesteziološki uređaj u vrijednosti od 73.827,00 eura, medicinske pile i bušilice u vrijednosti od 48.300,00 eura, </w:t>
      </w:r>
      <w:proofErr w:type="spellStart"/>
      <w:r>
        <w:t>kolonoskop</w:t>
      </w:r>
      <w:proofErr w:type="spellEnd"/>
      <w:r>
        <w:t xml:space="preserve"> u vrijednosti od 43.748,00 eura, gastroskop u vrijednosti od 43.731,00 eura, prijenosni </w:t>
      </w:r>
      <w:proofErr w:type="spellStart"/>
      <w:r>
        <w:t>polisomnograf</w:t>
      </w:r>
      <w:proofErr w:type="spellEnd"/>
      <w:r>
        <w:t xml:space="preserve"> u vrijednosti od 37.250,00 eura, </w:t>
      </w:r>
      <w:proofErr w:type="spellStart"/>
      <w:r>
        <w:t>duodenoskop</w:t>
      </w:r>
      <w:proofErr w:type="spellEnd"/>
      <w:r>
        <w:t xml:space="preserve"> u vrijednosti od 35.002,00 eura te </w:t>
      </w:r>
      <w:proofErr w:type="spellStart"/>
      <w:r>
        <w:t>injektor</w:t>
      </w:r>
      <w:proofErr w:type="spellEnd"/>
      <w:r>
        <w:t xml:space="preserve"> kontrasta za mamografiju u vrijednosti od 24.875,00 eura. Osim navedenog, nabavljena je i ostala medicinska i laboratorijska oprema ukupne vrijednosti 68.471,64 eura.</w:t>
      </w:r>
    </w:p>
    <w:p w:rsidR="00E4472F" w:rsidRDefault="00E4472F"/>
    <w:p w:rsidR="00E4472F" w:rsidRDefault="00000000">
      <w:pPr>
        <w:keepNext/>
        <w:spacing w:line="240" w:lineRule="auto"/>
        <w:jc w:val="center"/>
      </w:pPr>
      <w:r>
        <w:rPr>
          <w:sz w:val="28"/>
        </w:rPr>
        <w:lastRenderedPageBreak/>
        <w:t>Bilješka 92.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4225</w:t>
            </w:r>
          </w:p>
        </w:tc>
        <w:tc>
          <w:tcPr>
            <w:tcW w:w="3180" w:type="dxa"/>
            <w:tcMar>
              <w:top w:w="0" w:type="dxa"/>
              <w:bottom w:w="0" w:type="dxa"/>
            </w:tcMar>
            <w:vAlign w:val="center"/>
          </w:tcPr>
          <w:p w:rsidR="00E4472F" w:rsidRDefault="00000000">
            <w:pPr>
              <w:keepNext/>
              <w:keepLines/>
              <w:spacing w:after="0" w:line="240" w:lineRule="auto"/>
            </w:pPr>
            <w:r>
              <w:rPr>
                <w:sz w:val="18"/>
              </w:rPr>
              <w:t>Instrumenti i uređaji</w:t>
            </w:r>
          </w:p>
        </w:tc>
        <w:tc>
          <w:tcPr>
            <w:tcW w:w="700" w:type="dxa"/>
            <w:tcMar>
              <w:top w:w="0" w:type="dxa"/>
              <w:bottom w:w="0" w:type="dxa"/>
            </w:tcMar>
            <w:vAlign w:val="center"/>
          </w:tcPr>
          <w:p w:rsidR="00E4472F" w:rsidRDefault="00000000">
            <w:pPr>
              <w:keepNext/>
              <w:keepLines/>
              <w:spacing w:after="0" w:line="240" w:lineRule="auto"/>
            </w:pPr>
            <w:r>
              <w:rPr>
                <w:sz w:val="18"/>
              </w:rPr>
              <w:t>4225</w:t>
            </w:r>
          </w:p>
        </w:tc>
        <w:tc>
          <w:tcPr>
            <w:tcW w:w="1860" w:type="dxa"/>
            <w:tcMar>
              <w:top w:w="0" w:type="dxa"/>
              <w:bottom w:w="0" w:type="dxa"/>
            </w:tcMar>
            <w:vAlign w:val="center"/>
          </w:tcPr>
          <w:p w:rsidR="00E4472F" w:rsidRDefault="00000000">
            <w:pPr>
              <w:keepNext/>
              <w:keepLines/>
              <w:spacing w:after="0" w:line="240" w:lineRule="auto"/>
              <w:jc w:val="right"/>
            </w:pPr>
            <w:r>
              <w:rPr>
                <w:sz w:val="18"/>
              </w:rPr>
              <w:t>35.650,91</w:t>
            </w:r>
          </w:p>
        </w:tc>
        <w:tc>
          <w:tcPr>
            <w:tcW w:w="1860" w:type="dxa"/>
            <w:tcMar>
              <w:top w:w="0" w:type="dxa"/>
              <w:bottom w:w="0" w:type="dxa"/>
            </w:tcMar>
            <w:vAlign w:val="center"/>
          </w:tcPr>
          <w:p w:rsidR="00E4472F" w:rsidRDefault="00000000">
            <w:pPr>
              <w:keepNext/>
              <w:keepLines/>
              <w:spacing w:after="0" w:line="240" w:lineRule="auto"/>
              <w:jc w:val="right"/>
            </w:pPr>
            <w:r>
              <w:rPr>
                <w:sz w:val="18"/>
              </w:rPr>
              <w:t>29.666,90</w:t>
            </w:r>
          </w:p>
        </w:tc>
        <w:tc>
          <w:tcPr>
            <w:tcW w:w="700" w:type="dxa"/>
            <w:tcMar>
              <w:top w:w="0" w:type="dxa"/>
              <w:bottom w:w="0" w:type="dxa"/>
            </w:tcMar>
            <w:vAlign w:val="center"/>
          </w:tcPr>
          <w:p w:rsidR="00E4472F" w:rsidRDefault="00000000">
            <w:pPr>
              <w:keepNext/>
              <w:keepLines/>
              <w:spacing w:after="0" w:line="240" w:lineRule="auto"/>
              <w:jc w:val="right"/>
            </w:pPr>
            <w:r>
              <w:rPr>
                <w:sz w:val="18"/>
              </w:rPr>
              <w:t>83,2</w:t>
            </w:r>
          </w:p>
        </w:tc>
      </w:tr>
    </w:tbl>
    <w:p w:rsidR="00E4472F" w:rsidRDefault="00E4472F">
      <w:pPr>
        <w:spacing w:after="0"/>
      </w:pPr>
    </w:p>
    <w:p w:rsidR="00E4472F" w:rsidRDefault="00000000">
      <w:pPr>
        <w:jc w:val="both"/>
      </w:pPr>
      <w:r>
        <w:t>Rashodi za instrumente i uređaje u 2025. godini iznosili su 29.666,90 eura, dok su u 2024. godini iznosili 35.650,91 eura, što predstavlja smanjenje od 16,8 % u odnosu na prethodnu godinu.</w:t>
      </w:r>
    </w:p>
    <w:p w:rsidR="00E4472F" w:rsidRDefault="00E4472F"/>
    <w:p w:rsidR="00E4472F" w:rsidRDefault="00000000">
      <w:pPr>
        <w:keepNext/>
        <w:spacing w:line="240" w:lineRule="auto"/>
        <w:jc w:val="center"/>
      </w:pPr>
      <w:r>
        <w:rPr>
          <w:sz w:val="28"/>
        </w:rPr>
        <w:t>Bilješka 93.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4241</w:t>
            </w:r>
          </w:p>
        </w:tc>
        <w:tc>
          <w:tcPr>
            <w:tcW w:w="3180" w:type="dxa"/>
            <w:tcMar>
              <w:top w:w="0" w:type="dxa"/>
              <w:bottom w:w="0" w:type="dxa"/>
            </w:tcMar>
            <w:vAlign w:val="center"/>
          </w:tcPr>
          <w:p w:rsidR="00E4472F" w:rsidRDefault="00000000">
            <w:pPr>
              <w:keepNext/>
              <w:keepLines/>
              <w:spacing w:after="0" w:line="240" w:lineRule="auto"/>
            </w:pPr>
            <w:r>
              <w:rPr>
                <w:sz w:val="18"/>
              </w:rPr>
              <w:t>Knjige</w:t>
            </w:r>
          </w:p>
        </w:tc>
        <w:tc>
          <w:tcPr>
            <w:tcW w:w="700" w:type="dxa"/>
            <w:tcMar>
              <w:top w:w="0" w:type="dxa"/>
              <w:bottom w:w="0" w:type="dxa"/>
            </w:tcMar>
            <w:vAlign w:val="center"/>
          </w:tcPr>
          <w:p w:rsidR="00E4472F" w:rsidRDefault="00000000">
            <w:pPr>
              <w:keepNext/>
              <w:keepLines/>
              <w:spacing w:after="0" w:line="240" w:lineRule="auto"/>
            </w:pPr>
            <w:r>
              <w:rPr>
                <w:sz w:val="18"/>
              </w:rPr>
              <w:t>4241</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3.747,41</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pPr>
        <w:jc w:val="both"/>
      </w:pPr>
      <w:r>
        <w:t>U 2025. godini nabavljena je stručna literatura iz područja biomedicine i zdravstva za potrebe Medicinske knjižnice Bolnice u vrijednosti od 3.747,41 eura.</w:t>
      </w:r>
    </w:p>
    <w:p w:rsidR="00E4472F" w:rsidRDefault="00E4472F"/>
    <w:p w:rsidR="00E4472F" w:rsidRDefault="00000000">
      <w:pPr>
        <w:keepNext/>
        <w:spacing w:line="240" w:lineRule="auto"/>
        <w:jc w:val="center"/>
      </w:pPr>
      <w:r>
        <w:rPr>
          <w:sz w:val="28"/>
        </w:rPr>
        <w:t>Bilješka 94.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451</w:t>
            </w:r>
          </w:p>
        </w:tc>
        <w:tc>
          <w:tcPr>
            <w:tcW w:w="3180" w:type="dxa"/>
            <w:tcMar>
              <w:top w:w="0" w:type="dxa"/>
              <w:bottom w:w="0" w:type="dxa"/>
            </w:tcMar>
            <w:vAlign w:val="center"/>
          </w:tcPr>
          <w:p w:rsidR="00E4472F" w:rsidRDefault="00000000">
            <w:pPr>
              <w:keepNext/>
              <w:keepLines/>
              <w:spacing w:after="0" w:line="240" w:lineRule="auto"/>
            </w:pPr>
            <w:r>
              <w:rPr>
                <w:sz w:val="18"/>
              </w:rPr>
              <w:t>Dodatna ulaganja na građevinskim objektima</w:t>
            </w:r>
          </w:p>
        </w:tc>
        <w:tc>
          <w:tcPr>
            <w:tcW w:w="700" w:type="dxa"/>
            <w:tcMar>
              <w:top w:w="0" w:type="dxa"/>
              <w:bottom w:w="0" w:type="dxa"/>
            </w:tcMar>
            <w:vAlign w:val="center"/>
          </w:tcPr>
          <w:p w:rsidR="00E4472F" w:rsidRDefault="00000000">
            <w:pPr>
              <w:keepNext/>
              <w:keepLines/>
              <w:spacing w:after="0" w:line="240" w:lineRule="auto"/>
            </w:pPr>
            <w:r>
              <w:rPr>
                <w:sz w:val="18"/>
              </w:rPr>
              <w:t>451</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149.968,46</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pPr>
        <w:jc w:val="both"/>
      </w:pPr>
      <w:r>
        <w:t>Rashodi za dodatna ulaganja na građevinskim objektima u 2025. godini iznosili su 149.968,46 eura, vezanih uz građevinski radovi na adaptaciji Objedinjenog hitnog prijema, adaptaciji prostora za novi CT uređaj te financiranje studije izvedivosti izgradnje nove zgrade. U 2024. Bolnica nije imala dodatnih ulaganja u građevinske objekte.</w:t>
      </w:r>
    </w:p>
    <w:p w:rsidR="00E4472F" w:rsidRDefault="00E4472F"/>
    <w:p w:rsidR="00E4472F" w:rsidRDefault="00000000">
      <w:pPr>
        <w:keepNext/>
        <w:spacing w:line="240" w:lineRule="auto"/>
        <w:jc w:val="center"/>
      </w:pPr>
      <w:r>
        <w:rPr>
          <w:sz w:val="28"/>
        </w:rPr>
        <w:t>Bilješka 95.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5443</w:t>
            </w:r>
          </w:p>
        </w:tc>
        <w:tc>
          <w:tcPr>
            <w:tcW w:w="3180" w:type="dxa"/>
            <w:tcMar>
              <w:top w:w="0" w:type="dxa"/>
              <w:bottom w:w="0" w:type="dxa"/>
            </w:tcMar>
            <w:vAlign w:val="center"/>
          </w:tcPr>
          <w:p w:rsidR="00E4472F" w:rsidRDefault="00000000">
            <w:pPr>
              <w:keepNext/>
              <w:keepLines/>
              <w:spacing w:after="0" w:line="240" w:lineRule="auto"/>
            </w:pPr>
            <w:r>
              <w:rPr>
                <w:sz w:val="18"/>
              </w:rPr>
              <w:t>Otplata glavnice primljenih kredita od tuzemnih kreditnih institucija izvan javnog sektora</w:t>
            </w:r>
          </w:p>
        </w:tc>
        <w:tc>
          <w:tcPr>
            <w:tcW w:w="700" w:type="dxa"/>
            <w:tcMar>
              <w:top w:w="0" w:type="dxa"/>
              <w:bottom w:w="0" w:type="dxa"/>
            </w:tcMar>
            <w:vAlign w:val="center"/>
          </w:tcPr>
          <w:p w:rsidR="00E4472F" w:rsidRDefault="00000000">
            <w:pPr>
              <w:keepNext/>
              <w:keepLines/>
              <w:spacing w:after="0" w:line="240" w:lineRule="auto"/>
            </w:pPr>
            <w:r>
              <w:rPr>
                <w:sz w:val="18"/>
              </w:rPr>
              <w:t>5443</w:t>
            </w:r>
          </w:p>
        </w:tc>
        <w:tc>
          <w:tcPr>
            <w:tcW w:w="1860" w:type="dxa"/>
            <w:tcMar>
              <w:top w:w="0" w:type="dxa"/>
              <w:bottom w:w="0" w:type="dxa"/>
            </w:tcMar>
            <w:vAlign w:val="center"/>
          </w:tcPr>
          <w:p w:rsidR="00E4472F" w:rsidRDefault="00000000">
            <w:pPr>
              <w:keepNext/>
              <w:keepLines/>
              <w:spacing w:after="0" w:line="240" w:lineRule="auto"/>
              <w:jc w:val="right"/>
            </w:pPr>
            <w:r>
              <w:rPr>
                <w:sz w:val="18"/>
              </w:rPr>
              <w:t>663.614,04</w:t>
            </w:r>
          </w:p>
        </w:tc>
        <w:tc>
          <w:tcPr>
            <w:tcW w:w="1860" w:type="dxa"/>
            <w:tcMar>
              <w:top w:w="0" w:type="dxa"/>
              <w:bottom w:w="0" w:type="dxa"/>
            </w:tcMar>
            <w:vAlign w:val="center"/>
          </w:tcPr>
          <w:p w:rsidR="00E4472F" w:rsidRDefault="00000000">
            <w:pPr>
              <w:keepNext/>
              <w:keepLines/>
              <w:spacing w:after="0" w:line="240" w:lineRule="auto"/>
              <w:jc w:val="right"/>
            </w:pPr>
            <w:r>
              <w:rPr>
                <w:sz w:val="18"/>
              </w:rPr>
              <w:t>663.614,05</w:t>
            </w:r>
          </w:p>
        </w:tc>
        <w:tc>
          <w:tcPr>
            <w:tcW w:w="700" w:type="dxa"/>
            <w:tcMar>
              <w:top w:w="0" w:type="dxa"/>
              <w:bottom w:w="0" w:type="dxa"/>
            </w:tcMar>
            <w:vAlign w:val="center"/>
          </w:tcPr>
          <w:p w:rsidR="00E4472F" w:rsidRDefault="00000000">
            <w:pPr>
              <w:keepNext/>
              <w:keepLines/>
              <w:spacing w:after="0" w:line="240" w:lineRule="auto"/>
              <w:jc w:val="right"/>
            </w:pPr>
            <w:r>
              <w:rPr>
                <w:sz w:val="18"/>
              </w:rPr>
              <w:t>100,0</w:t>
            </w:r>
          </w:p>
        </w:tc>
      </w:tr>
    </w:tbl>
    <w:p w:rsidR="00E4472F" w:rsidRDefault="00E4472F">
      <w:pPr>
        <w:spacing w:after="0"/>
      </w:pPr>
    </w:p>
    <w:p w:rsidR="00E4472F" w:rsidRDefault="00000000">
      <w:r>
        <w:t xml:space="preserve">Izdaci za otplatu glavnice primljenih kredita od tuzemnih kreditnih institucija izvan javnog sektora (konto 5443) u 2025. godini iznose 663.614,05 eura, dok su u 2024. godini iznosili </w:t>
      </w:r>
      <w:r>
        <w:lastRenderedPageBreak/>
        <w:t>663.614,04 eura. Navedeni izdaci ostvareni su u skladu s ugovorenim otplatnim planom kredita PBZ-a, pri čemu je razina izdataka u izvještajnom razdoblju nepromijenjena u odnosu na prethodnu godinu.</w:t>
      </w:r>
    </w:p>
    <w:p w:rsidR="00E4472F" w:rsidRDefault="00E4472F"/>
    <w:p w:rsidR="00E4472F" w:rsidRDefault="00000000">
      <w:pPr>
        <w:keepNext/>
        <w:spacing w:line="240" w:lineRule="auto"/>
        <w:jc w:val="center"/>
      </w:pPr>
      <w:r>
        <w:rPr>
          <w:b/>
          <w:sz w:val="28"/>
        </w:rPr>
        <w:t>Bilanca</w:t>
      </w:r>
    </w:p>
    <w:p w:rsidR="00E4472F" w:rsidRDefault="00000000">
      <w:pPr>
        <w:keepNext/>
        <w:spacing w:line="240" w:lineRule="auto"/>
        <w:jc w:val="center"/>
      </w:pPr>
      <w:r>
        <w:rPr>
          <w:sz w:val="28"/>
        </w:rPr>
        <w:t>Bilješka 96.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011</w:t>
            </w:r>
          </w:p>
        </w:tc>
        <w:tc>
          <w:tcPr>
            <w:tcW w:w="3180" w:type="dxa"/>
            <w:tcMar>
              <w:top w:w="0" w:type="dxa"/>
              <w:bottom w:w="0" w:type="dxa"/>
            </w:tcMar>
            <w:vAlign w:val="center"/>
          </w:tcPr>
          <w:p w:rsidR="00E4472F" w:rsidRDefault="00000000">
            <w:pPr>
              <w:keepNext/>
              <w:keepLines/>
              <w:spacing w:after="0" w:line="240" w:lineRule="auto"/>
            </w:pPr>
            <w:r>
              <w:rPr>
                <w:sz w:val="18"/>
              </w:rPr>
              <w:t>Materijalna imovina - prirodna bogatstva</w:t>
            </w:r>
          </w:p>
        </w:tc>
        <w:tc>
          <w:tcPr>
            <w:tcW w:w="700" w:type="dxa"/>
            <w:tcMar>
              <w:top w:w="0" w:type="dxa"/>
              <w:bottom w:w="0" w:type="dxa"/>
            </w:tcMar>
            <w:vAlign w:val="center"/>
          </w:tcPr>
          <w:p w:rsidR="00E4472F" w:rsidRDefault="00000000">
            <w:pPr>
              <w:keepNext/>
              <w:keepLines/>
              <w:spacing w:after="0" w:line="240" w:lineRule="auto"/>
            </w:pPr>
            <w:r>
              <w:rPr>
                <w:sz w:val="18"/>
              </w:rPr>
              <w:t>011</w:t>
            </w:r>
          </w:p>
        </w:tc>
        <w:tc>
          <w:tcPr>
            <w:tcW w:w="1860" w:type="dxa"/>
            <w:tcMar>
              <w:top w:w="0" w:type="dxa"/>
              <w:bottom w:w="0" w:type="dxa"/>
            </w:tcMar>
            <w:vAlign w:val="center"/>
          </w:tcPr>
          <w:p w:rsidR="00E4472F" w:rsidRDefault="00000000">
            <w:pPr>
              <w:keepNext/>
              <w:keepLines/>
              <w:spacing w:after="0" w:line="240" w:lineRule="auto"/>
              <w:jc w:val="right"/>
            </w:pPr>
            <w:r>
              <w:rPr>
                <w:sz w:val="18"/>
              </w:rPr>
              <w:t>4.764.474,00</w:t>
            </w:r>
          </w:p>
        </w:tc>
        <w:tc>
          <w:tcPr>
            <w:tcW w:w="1860" w:type="dxa"/>
            <w:tcMar>
              <w:top w:w="0" w:type="dxa"/>
              <w:bottom w:w="0" w:type="dxa"/>
            </w:tcMar>
            <w:vAlign w:val="center"/>
          </w:tcPr>
          <w:p w:rsidR="00E4472F" w:rsidRDefault="00000000">
            <w:pPr>
              <w:keepNext/>
              <w:keepLines/>
              <w:spacing w:after="0" w:line="240" w:lineRule="auto"/>
              <w:jc w:val="right"/>
            </w:pPr>
            <w:r>
              <w:rPr>
                <w:sz w:val="18"/>
              </w:rPr>
              <w:t>4.764.474,00</w:t>
            </w:r>
          </w:p>
        </w:tc>
        <w:tc>
          <w:tcPr>
            <w:tcW w:w="700" w:type="dxa"/>
            <w:tcMar>
              <w:top w:w="0" w:type="dxa"/>
              <w:bottom w:w="0" w:type="dxa"/>
            </w:tcMar>
            <w:vAlign w:val="center"/>
          </w:tcPr>
          <w:p w:rsidR="00E4472F" w:rsidRDefault="00000000">
            <w:pPr>
              <w:keepNext/>
              <w:keepLines/>
              <w:spacing w:after="0" w:line="240" w:lineRule="auto"/>
              <w:jc w:val="right"/>
            </w:pPr>
            <w:r>
              <w:rPr>
                <w:sz w:val="18"/>
              </w:rPr>
              <w:t>100</w:t>
            </w:r>
          </w:p>
        </w:tc>
      </w:tr>
    </w:tbl>
    <w:p w:rsidR="00E4472F" w:rsidRDefault="00E4472F">
      <w:pPr>
        <w:spacing w:after="0"/>
      </w:pPr>
    </w:p>
    <w:p w:rsidR="00E4472F" w:rsidRDefault="00000000">
      <w:r>
        <w:t>Na odjeljku 011 Materijalna imovina - prirodna bogatstva evidentirana je vrijednost građevinskog zemljišta Bolnice u iznosu od 4.764.474,00 eura i neizmijenjena je u odnosu na 2024. godinu.</w:t>
      </w:r>
    </w:p>
    <w:p w:rsidR="00E4472F" w:rsidRDefault="00E4472F"/>
    <w:p w:rsidR="00E4472F" w:rsidRDefault="00000000">
      <w:pPr>
        <w:keepNext/>
        <w:spacing w:line="240" w:lineRule="auto"/>
        <w:jc w:val="center"/>
      </w:pPr>
      <w:r>
        <w:rPr>
          <w:sz w:val="28"/>
        </w:rPr>
        <w:t>Bilješka 97.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012</w:t>
            </w:r>
          </w:p>
        </w:tc>
        <w:tc>
          <w:tcPr>
            <w:tcW w:w="3180" w:type="dxa"/>
            <w:tcMar>
              <w:top w:w="0" w:type="dxa"/>
              <w:bottom w:w="0" w:type="dxa"/>
            </w:tcMar>
            <w:vAlign w:val="center"/>
          </w:tcPr>
          <w:p w:rsidR="00E4472F" w:rsidRDefault="00000000">
            <w:pPr>
              <w:keepNext/>
              <w:keepLines/>
              <w:spacing w:after="0" w:line="240" w:lineRule="auto"/>
            </w:pPr>
            <w:r>
              <w:rPr>
                <w:sz w:val="18"/>
              </w:rPr>
              <w:t>Nematerijalna imovina</w:t>
            </w:r>
          </w:p>
        </w:tc>
        <w:tc>
          <w:tcPr>
            <w:tcW w:w="700" w:type="dxa"/>
            <w:tcMar>
              <w:top w:w="0" w:type="dxa"/>
              <w:bottom w:w="0" w:type="dxa"/>
            </w:tcMar>
            <w:vAlign w:val="center"/>
          </w:tcPr>
          <w:p w:rsidR="00E4472F" w:rsidRDefault="00000000">
            <w:pPr>
              <w:keepNext/>
              <w:keepLines/>
              <w:spacing w:after="0" w:line="240" w:lineRule="auto"/>
            </w:pPr>
            <w:r>
              <w:rPr>
                <w:sz w:val="18"/>
              </w:rPr>
              <w:t>012</w:t>
            </w:r>
          </w:p>
        </w:tc>
        <w:tc>
          <w:tcPr>
            <w:tcW w:w="1860" w:type="dxa"/>
            <w:tcMar>
              <w:top w:w="0" w:type="dxa"/>
              <w:bottom w:w="0" w:type="dxa"/>
            </w:tcMar>
            <w:vAlign w:val="center"/>
          </w:tcPr>
          <w:p w:rsidR="00E4472F" w:rsidRDefault="00000000">
            <w:pPr>
              <w:keepNext/>
              <w:keepLines/>
              <w:spacing w:after="0" w:line="240" w:lineRule="auto"/>
              <w:jc w:val="right"/>
            </w:pPr>
            <w:r>
              <w:rPr>
                <w:sz w:val="18"/>
              </w:rPr>
              <w:t>45.596,70</w:t>
            </w:r>
          </w:p>
        </w:tc>
        <w:tc>
          <w:tcPr>
            <w:tcW w:w="1860" w:type="dxa"/>
            <w:tcMar>
              <w:top w:w="0" w:type="dxa"/>
              <w:bottom w:w="0" w:type="dxa"/>
            </w:tcMar>
            <w:vAlign w:val="center"/>
          </w:tcPr>
          <w:p w:rsidR="00E4472F" w:rsidRDefault="00000000">
            <w:pPr>
              <w:keepNext/>
              <w:keepLines/>
              <w:spacing w:after="0" w:line="240" w:lineRule="auto"/>
              <w:jc w:val="right"/>
            </w:pPr>
            <w:r>
              <w:rPr>
                <w:sz w:val="18"/>
              </w:rPr>
              <w:t>8.192,40</w:t>
            </w:r>
          </w:p>
        </w:tc>
        <w:tc>
          <w:tcPr>
            <w:tcW w:w="700" w:type="dxa"/>
            <w:tcMar>
              <w:top w:w="0" w:type="dxa"/>
              <w:bottom w:w="0" w:type="dxa"/>
            </w:tcMar>
            <w:vAlign w:val="center"/>
          </w:tcPr>
          <w:p w:rsidR="00E4472F" w:rsidRDefault="00000000">
            <w:pPr>
              <w:keepNext/>
              <w:keepLines/>
              <w:spacing w:after="0" w:line="240" w:lineRule="auto"/>
              <w:jc w:val="right"/>
            </w:pPr>
            <w:r>
              <w:rPr>
                <w:sz w:val="18"/>
              </w:rPr>
              <w:t>18,0</w:t>
            </w:r>
          </w:p>
        </w:tc>
      </w:tr>
    </w:tbl>
    <w:p w:rsidR="00E4472F" w:rsidRDefault="00E4472F">
      <w:pPr>
        <w:spacing w:after="0"/>
      </w:pPr>
    </w:p>
    <w:p w:rsidR="00E4472F" w:rsidRDefault="00000000">
      <w:pPr>
        <w:jc w:val="both"/>
      </w:pPr>
      <w:r>
        <w:t xml:space="preserve">Na odjeljku 012 Nematerijalna imovina evidentirana je vrijednost licenci u iznosu od 8.192,40 eura. U prethodnim razdobljima pogrešno su evidentirane vrijednosti licenci sustava koje su u najmu stoga je na kraju 2025. vrijednost licenci smanjena za 82% te su evidentirane isključivo licence koja Bolnica koristi neograničeno i koje su dio imovine, a odnose se na trajnu licencu programa Vektor (IT sustav korišten u Bolničkoj ljekarni), licence za korištenje programa </w:t>
      </w:r>
      <w:proofErr w:type="spellStart"/>
      <w:r>
        <w:t>Autocad</w:t>
      </w:r>
      <w:proofErr w:type="spellEnd"/>
      <w:r>
        <w:t xml:space="preserve">, licence </w:t>
      </w:r>
      <w:proofErr w:type="spellStart"/>
      <w:r>
        <w:t>Academc</w:t>
      </w:r>
      <w:proofErr w:type="spellEnd"/>
      <w:r>
        <w:t xml:space="preserve"> </w:t>
      </w:r>
      <w:proofErr w:type="spellStart"/>
      <w:r>
        <w:t>SnapGene</w:t>
      </w:r>
      <w:proofErr w:type="spellEnd"/>
      <w:r>
        <w:t xml:space="preserve"> 7 </w:t>
      </w:r>
      <w:proofErr w:type="spellStart"/>
      <w:r>
        <w:t>Pemanent</w:t>
      </w:r>
      <w:proofErr w:type="spellEnd"/>
      <w:r>
        <w:t xml:space="preserve"> te licence </w:t>
      </w:r>
      <w:proofErr w:type="spellStart"/>
      <w:r>
        <w:t>Medcalsc</w:t>
      </w:r>
      <w:proofErr w:type="spellEnd"/>
      <w:r>
        <w:t xml:space="preserve"> programa.</w:t>
      </w:r>
    </w:p>
    <w:p w:rsidR="00E4472F" w:rsidRDefault="00E4472F"/>
    <w:p w:rsidR="00E4472F" w:rsidRDefault="00000000">
      <w:pPr>
        <w:keepNext/>
        <w:spacing w:line="240" w:lineRule="auto"/>
        <w:jc w:val="center"/>
      </w:pPr>
      <w:r>
        <w:rPr>
          <w:sz w:val="28"/>
        </w:rPr>
        <w:t>Bilješka 98.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021 i 02921</w:t>
            </w:r>
          </w:p>
        </w:tc>
        <w:tc>
          <w:tcPr>
            <w:tcW w:w="3180" w:type="dxa"/>
            <w:tcMar>
              <w:top w:w="0" w:type="dxa"/>
              <w:bottom w:w="0" w:type="dxa"/>
            </w:tcMar>
            <w:vAlign w:val="center"/>
          </w:tcPr>
          <w:p w:rsidR="00E4472F" w:rsidRDefault="00000000">
            <w:pPr>
              <w:keepNext/>
              <w:keepLines/>
              <w:spacing w:after="0" w:line="240" w:lineRule="auto"/>
            </w:pPr>
            <w:r>
              <w:rPr>
                <w:sz w:val="18"/>
              </w:rPr>
              <w:t>Građevinski objekti (šifre 0211 do 0214 - 02921)</w:t>
            </w:r>
          </w:p>
        </w:tc>
        <w:tc>
          <w:tcPr>
            <w:tcW w:w="700" w:type="dxa"/>
            <w:tcMar>
              <w:top w:w="0" w:type="dxa"/>
              <w:bottom w:w="0" w:type="dxa"/>
            </w:tcMar>
            <w:vAlign w:val="center"/>
          </w:tcPr>
          <w:p w:rsidR="00E4472F" w:rsidRDefault="00000000">
            <w:pPr>
              <w:keepNext/>
              <w:keepLines/>
              <w:spacing w:after="0" w:line="240" w:lineRule="auto"/>
            </w:pPr>
            <w:r>
              <w:rPr>
                <w:sz w:val="18"/>
              </w:rPr>
              <w:t>021 i 02921</w:t>
            </w:r>
          </w:p>
        </w:tc>
        <w:tc>
          <w:tcPr>
            <w:tcW w:w="1860" w:type="dxa"/>
            <w:tcMar>
              <w:top w:w="0" w:type="dxa"/>
              <w:bottom w:w="0" w:type="dxa"/>
            </w:tcMar>
            <w:vAlign w:val="center"/>
          </w:tcPr>
          <w:p w:rsidR="00E4472F" w:rsidRDefault="00000000">
            <w:pPr>
              <w:keepNext/>
              <w:keepLines/>
              <w:spacing w:after="0" w:line="240" w:lineRule="auto"/>
              <w:jc w:val="right"/>
            </w:pPr>
            <w:r>
              <w:rPr>
                <w:sz w:val="18"/>
              </w:rPr>
              <w:t>5.626.060,45</w:t>
            </w:r>
          </w:p>
        </w:tc>
        <w:tc>
          <w:tcPr>
            <w:tcW w:w="1860" w:type="dxa"/>
            <w:tcMar>
              <w:top w:w="0" w:type="dxa"/>
              <w:bottom w:w="0" w:type="dxa"/>
            </w:tcMar>
            <w:vAlign w:val="center"/>
          </w:tcPr>
          <w:p w:rsidR="00E4472F" w:rsidRDefault="00000000">
            <w:pPr>
              <w:keepNext/>
              <w:keepLines/>
              <w:spacing w:after="0" w:line="240" w:lineRule="auto"/>
              <w:jc w:val="right"/>
            </w:pPr>
            <w:r>
              <w:rPr>
                <w:sz w:val="18"/>
              </w:rPr>
              <w:t>8.599.704,96</w:t>
            </w:r>
          </w:p>
        </w:tc>
        <w:tc>
          <w:tcPr>
            <w:tcW w:w="700" w:type="dxa"/>
            <w:tcMar>
              <w:top w:w="0" w:type="dxa"/>
              <w:bottom w:w="0" w:type="dxa"/>
            </w:tcMar>
            <w:vAlign w:val="center"/>
          </w:tcPr>
          <w:p w:rsidR="00E4472F" w:rsidRDefault="00000000">
            <w:pPr>
              <w:keepNext/>
              <w:keepLines/>
              <w:spacing w:after="0" w:line="240" w:lineRule="auto"/>
              <w:jc w:val="right"/>
            </w:pPr>
            <w:r>
              <w:rPr>
                <w:sz w:val="18"/>
              </w:rPr>
              <w:t>152,9</w:t>
            </w:r>
          </w:p>
        </w:tc>
      </w:tr>
    </w:tbl>
    <w:p w:rsidR="00E4472F" w:rsidRDefault="00E4472F">
      <w:pPr>
        <w:spacing w:after="0"/>
      </w:pPr>
    </w:p>
    <w:p w:rsidR="00E4472F" w:rsidRDefault="00000000">
      <w:r>
        <w:t>Na odjeljku 021 Građevinski objekti evidentirana je neto vrijednost građevinskih objekata Bolnice u iznosu od 8.599.704,96 EUR, nakon provedenog ispravka vrijednosti.</w:t>
      </w:r>
    </w:p>
    <w:p w:rsidR="00E4472F" w:rsidRDefault="00E4472F"/>
    <w:p w:rsidR="00E4472F" w:rsidRDefault="00000000">
      <w:pPr>
        <w:keepNext/>
        <w:spacing w:line="240" w:lineRule="auto"/>
        <w:jc w:val="center"/>
      </w:pPr>
      <w:r>
        <w:rPr>
          <w:sz w:val="28"/>
        </w:rPr>
        <w:lastRenderedPageBreak/>
        <w:t>Bilješka 99.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0212</w:t>
            </w:r>
          </w:p>
        </w:tc>
        <w:tc>
          <w:tcPr>
            <w:tcW w:w="3180" w:type="dxa"/>
            <w:tcMar>
              <w:top w:w="0" w:type="dxa"/>
              <w:bottom w:w="0" w:type="dxa"/>
            </w:tcMar>
            <w:vAlign w:val="center"/>
          </w:tcPr>
          <w:p w:rsidR="00E4472F" w:rsidRDefault="00000000">
            <w:pPr>
              <w:keepNext/>
              <w:keepLines/>
              <w:spacing w:after="0" w:line="240" w:lineRule="auto"/>
            </w:pPr>
            <w:r>
              <w:rPr>
                <w:sz w:val="18"/>
              </w:rPr>
              <w:t>Poslovni objekti</w:t>
            </w:r>
          </w:p>
        </w:tc>
        <w:tc>
          <w:tcPr>
            <w:tcW w:w="700" w:type="dxa"/>
            <w:tcMar>
              <w:top w:w="0" w:type="dxa"/>
              <w:bottom w:w="0" w:type="dxa"/>
            </w:tcMar>
            <w:vAlign w:val="center"/>
          </w:tcPr>
          <w:p w:rsidR="00E4472F" w:rsidRDefault="00000000">
            <w:pPr>
              <w:keepNext/>
              <w:keepLines/>
              <w:spacing w:after="0" w:line="240" w:lineRule="auto"/>
            </w:pPr>
            <w:r>
              <w:rPr>
                <w:sz w:val="18"/>
              </w:rPr>
              <w:t>0212</w:t>
            </w:r>
          </w:p>
        </w:tc>
        <w:tc>
          <w:tcPr>
            <w:tcW w:w="1860" w:type="dxa"/>
            <w:tcMar>
              <w:top w:w="0" w:type="dxa"/>
              <w:bottom w:w="0" w:type="dxa"/>
            </w:tcMar>
            <w:vAlign w:val="center"/>
          </w:tcPr>
          <w:p w:rsidR="00E4472F" w:rsidRDefault="00000000">
            <w:pPr>
              <w:keepNext/>
              <w:keepLines/>
              <w:spacing w:after="0" w:line="240" w:lineRule="auto"/>
              <w:jc w:val="right"/>
            </w:pPr>
            <w:r>
              <w:rPr>
                <w:sz w:val="18"/>
              </w:rPr>
              <w:t>13.159.480,91</w:t>
            </w:r>
          </w:p>
        </w:tc>
        <w:tc>
          <w:tcPr>
            <w:tcW w:w="1860" w:type="dxa"/>
            <w:tcMar>
              <w:top w:w="0" w:type="dxa"/>
              <w:bottom w:w="0" w:type="dxa"/>
            </w:tcMar>
            <w:vAlign w:val="center"/>
          </w:tcPr>
          <w:p w:rsidR="00E4472F" w:rsidRDefault="00000000">
            <w:pPr>
              <w:keepNext/>
              <w:keepLines/>
              <w:spacing w:after="0" w:line="240" w:lineRule="auto"/>
              <w:jc w:val="right"/>
            </w:pPr>
            <w:r>
              <w:rPr>
                <w:sz w:val="18"/>
              </w:rPr>
              <w:t>16.494.849,65</w:t>
            </w:r>
          </w:p>
        </w:tc>
        <w:tc>
          <w:tcPr>
            <w:tcW w:w="700" w:type="dxa"/>
            <w:tcMar>
              <w:top w:w="0" w:type="dxa"/>
              <w:bottom w:w="0" w:type="dxa"/>
            </w:tcMar>
            <w:vAlign w:val="center"/>
          </w:tcPr>
          <w:p w:rsidR="00E4472F" w:rsidRDefault="00000000">
            <w:pPr>
              <w:keepNext/>
              <w:keepLines/>
              <w:spacing w:after="0" w:line="240" w:lineRule="auto"/>
              <w:jc w:val="right"/>
            </w:pPr>
            <w:r>
              <w:rPr>
                <w:sz w:val="18"/>
              </w:rPr>
              <w:t>125,3</w:t>
            </w:r>
          </w:p>
        </w:tc>
      </w:tr>
    </w:tbl>
    <w:p w:rsidR="00E4472F" w:rsidRDefault="00E4472F">
      <w:pPr>
        <w:spacing w:after="0"/>
      </w:pPr>
    </w:p>
    <w:p w:rsidR="00E4472F" w:rsidRDefault="00000000">
      <w:pPr>
        <w:jc w:val="both"/>
      </w:pPr>
      <w:r>
        <w:t>Na kontu 0212 Poslovni objekti iskazana je bruto vrijednost građevinskih objekata u iznosu od 16.494.849,65 EUR. Povjerenstvo za popis građevinskih objekata u sklopu redovne godišnje inventure na dan 31. prosinca 2025. utvrdilo je da dva građevinska objekta, i to objekt 13 (patologija) i objekt 17 (aneks kirurgije), koji su dograđeni tijekom 2019. godine i stavljeni u uporabu 2020. godine, nisu bili evidentirani u poslovnim knjigama Bolnice. Nakon njihovog naknadnog evidentiranja, vrijednost građevinskih objekata povećana je za 2.973.644,51 EUR, što predstavlja povećanje od približno 25 %. U poslovnim knjigama Bolnice evidentirano je ukupno 17 građevinskih objekata. Građevinski objekti Dnevne bolnice (objekt 15) i Mikrobiologije (objekt 16) vode se u vanbilančnoj evidenciji, dok su ostali objekti evidentirani u bilanci, i to: zgrada 1 (ORL), zgrada 2 (fizikalna medicina), zgrada 3 (interna), zgrada 4 (toplinska stanica), zgrada 5 (kirurgija), zgrada 6 (neurologija), zgrada 7 (sterilizacija), zgrada 8 (atrij), zgrada 9 (</w:t>
      </w:r>
      <w:proofErr w:type="spellStart"/>
      <w:r>
        <w:t>nefrologija</w:t>
      </w:r>
      <w:proofErr w:type="spellEnd"/>
      <w:r>
        <w:t>), zgrada 10 (ginekologija), zgrada 11 (OHBP), zgrada 12 (kirurgija), zgrada 13 (patologija), zgrada 14 (agregatna stanica) te zgrada 17 (aneks kirurgije).</w:t>
      </w:r>
    </w:p>
    <w:p w:rsidR="00E4472F" w:rsidRDefault="00E4472F"/>
    <w:p w:rsidR="00E4472F" w:rsidRDefault="00000000">
      <w:pPr>
        <w:keepNext/>
        <w:spacing w:line="240" w:lineRule="auto"/>
        <w:jc w:val="center"/>
      </w:pPr>
      <w:r>
        <w:rPr>
          <w:sz w:val="28"/>
        </w:rPr>
        <w:t>Bilješka 100.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02921</w:t>
            </w:r>
          </w:p>
        </w:tc>
        <w:tc>
          <w:tcPr>
            <w:tcW w:w="3180" w:type="dxa"/>
            <w:tcMar>
              <w:top w:w="0" w:type="dxa"/>
              <w:bottom w:w="0" w:type="dxa"/>
            </w:tcMar>
            <w:vAlign w:val="center"/>
          </w:tcPr>
          <w:p w:rsidR="00E4472F" w:rsidRDefault="00000000">
            <w:pPr>
              <w:keepNext/>
              <w:keepLines/>
              <w:spacing w:after="0" w:line="240" w:lineRule="auto"/>
            </w:pPr>
            <w:r>
              <w:rPr>
                <w:sz w:val="18"/>
              </w:rPr>
              <w:t>Ispravak vrijednosti građevinskih objekata</w:t>
            </w:r>
          </w:p>
        </w:tc>
        <w:tc>
          <w:tcPr>
            <w:tcW w:w="700" w:type="dxa"/>
            <w:tcMar>
              <w:top w:w="0" w:type="dxa"/>
              <w:bottom w:w="0" w:type="dxa"/>
            </w:tcMar>
            <w:vAlign w:val="center"/>
          </w:tcPr>
          <w:p w:rsidR="00E4472F" w:rsidRDefault="00000000">
            <w:pPr>
              <w:keepNext/>
              <w:keepLines/>
              <w:spacing w:after="0" w:line="240" w:lineRule="auto"/>
            </w:pPr>
            <w:r>
              <w:rPr>
                <w:sz w:val="18"/>
              </w:rPr>
              <w:t>02921</w:t>
            </w:r>
          </w:p>
        </w:tc>
        <w:tc>
          <w:tcPr>
            <w:tcW w:w="1860" w:type="dxa"/>
            <w:tcMar>
              <w:top w:w="0" w:type="dxa"/>
              <w:bottom w:w="0" w:type="dxa"/>
            </w:tcMar>
            <w:vAlign w:val="center"/>
          </w:tcPr>
          <w:p w:rsidR="00E4472F" w:rsidRDefault="00000000">
            <w:pPr>
              <w:keepNext/>
              <w:keepLines/>
              <w:spacing w:after="0" w:line="240" w:lineRule="auto"/>
              <w:jc w:val="right"/>
            </w:pPr>
            <w:r>
              <w:rPr>
                <w:sz w:val="18"/>
              </w:rPr>
              <w:t>7.533.420,46</w:t>
            </w:r>
          </w:p>
        </w:tc>
        <w:tc>
          <w:tcPr>
            <w:tcW w:w="1860" w:type="dxa"/>
            <w:tcMar>
              <w:top w:w="0" w:type="dxa"/>
              <w:bottom w:w="0" w:type="dxa"/>
            </w:tcMar>
            <w:vAlign w:val="center"/>
          </w:tcPr>
          <w:p w:rsidR="00E4472F" w:rsidRDefault="00000000">
            <w:pPr>
              <w:keepNext/>
              <w:keepLines/>
              <w:spacing w:after="0" w:line="240" w:lineRule="auto"/>
              <w:jc w:val="right"/>
            </w:pPr>
            <w:r>
              <w:rPr>
                <w:sz w:val="18"/>
              </w:rPr>
              <w:t>7.895.144,69</w:t>
            </w:r>
          </w:p>
        </w:tc>
        <w:tc>
          <w:tcPr>
            <w:tcW w:w="700" w:type="dxa"/>
            <w:tcMar>
              <w:top w:w="0" w:type="dxa"/>
              <w:bottom w:w="0" w:type="dxa"/>
            </w:tcMar>
            <w:vAlign w:val="center"/>
          </w:tcPr>
          <w:p w:rsidR="00E4472F" w:rsidRDefault="00000000">
            <w:pPr>
              <w:keepNext/>
              <w:keepLines/>
              <w:spacing w:after="0" w:line="240" w:lineRule="auto"/>
              <w:jc w:val="right"/>
            </w:pPr>
            <w:r>
              <w:rPr>
                <w:sz w:val="18"/>
              </w:rPr>
              <w:t>104,8</w:t>
            </w:r>
          </w:p>
        </w:tc>
      </w:tr>
    </w:tbl>
    <w:p w:rsidR="00E4472F" w:rsidRDefault="00E4472F">
      <w:pPr>
        <w:spacing w:after="0"/>
      </w:pPr>
    </w:p>
    <w:p w:rsidR="00E4472F" w:rsidRDefault="00000000">
      <w:pPr>
        <w:jc w:val="both"/>
      </w:pPr>
      <w:r>
        <w:t>Na kontu 0291 Ispravak vrijednosti građevinskih objekata evidentiran je ispravak vrijednosti u iznosu od 7.895.144,69 EUR. Ispravak vrijednosti provodi se godišnje primjenom stope amortizacije od 1,5 %, a zbog povećanja bruto vrijednosti poslovnih objekata u izvještajnom razdoblju, iznos ispravka vrijednosti povećan je za 4,8 % u odnosu na prethodnu godinu.</w:t>
      </w:r>
    </w:p>
    <w:p w:rsidR="00E4472F" w:rsidRDefault="00E4472F"/>
    <w:p w:rsidR="00E4472F" w:rsidRDefault="00000000">
      <w:pPr>
        <w:keepNext/>
        <w:spacing w:line="240" w:lineRule="auto"/>
        <w:jc w:val="center"/>
      </w:pPr>
      <w:r>
        <w:rPr>
          <w:sz w:val="28"/>
        </w:rPr>
        <w:t>Bilješka 101.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022 i 02922</w:t>
            </w:r>
          </w:p>
        </w:tc>
        <w:tc>
          <w:tcPr>
            <w:tcW w:w="3180" w:type="dxa"/>
            <w:tcMar>
              <w:top w:w="0" w:type="dxa"/>
              <w:bottom w:w="0" w:type="dxa"/>
            </w:tcMar>
            <w:vAlign w:val="center"/>
          </w:tcPr>
          <w:p w:rsidR="00E4472F" w:rsidRDefault="00000000">
            <w:pPr>
              <w:keepNext/>
              <w:keepLines/>
              <w:spacing w:after="0" w:line="240" w:lineRule="auto"/>
            </w:pPr>
            <w:r>
              <w:rPr>
                <w:sz w:val="18"/>
              </w:rPr>
              <w:t>Postrojenja i oprema (šifre 0221 do 0228 - 02922)</w:t>
            </w:r>
          </w:p>
        </w:tc>
        <w:tc>
          <w:tcPr>
            <w:tcW w:w="700" w:type="dxa"/>
            <w:tcMar>
              <w:top w:w="0" w:type="dxa"/>
              <w:bottom w:w="0" w:type="dxa"/>
            </w:tcMar>
            <w:vAlign w:val="center"/>
          </w:tcPr>
          <w:p w:rsidR="00E4472F" w:rsidRDefault="00000000">
            <w:pPr>
              <w:keepNext/>
              <w:keepLines/>
              <w:spacing w:after="0" w:line="240" w:lineRule="auto"/>
            </w:pPr>
            <w:r>
              <w:rPr>
                <w:sz w:val="18"/>
              </w:rPr>
              <w:t>022 i 02922</w:t>
            </w:r>
          </w:p>
        </w:tc>
        <w:tc>
          <w:tcPr>
            <w:tcW w:w="1860" w:type="dxa"/>
            <w:tcMar>
              <w:top w:w="0" w:type="dxa"/>
              <w:bottom w:w="0" w:type="dxa"/>
            </w:tcMar>
            <w:vAlign w:val="center"/>
          </w:tcPr>
          <w:p w:rsidR="00E4472F" w:rsidRDefault="00000000">
            <w:pPr>
              <w:keepNext/>
              <w:keepLines/>
              <w:spacing w:after="0" w:line="240" w:lineRule="auto"/>
              <w:jc w:val="right"/>
            </w:pPr>
            <w:r>
              <w:rPr>
                <w:sz w:val="18"/>
              </w:rPr>
              <w:t>6.864.356,74</w:t>
            </w:r>
          </w:p>
        </w:tc>
        <w:tc>
          <w:tcPr>
            <w:tcW w:w="1860" w:type="dxa"/>
            <w:tcMar>
              <w:top w:w="0" w:type="dxa"/>
              <w:bottom w:w="0" w:type="dxa"/>
            </w:tcMar>
            <w:vAlign w:val="center"/>
          </w:tcPr>
          <w:p w:rsidR="00E4472F" w:rsidRDefault="00000000">
            <w:pPr>
              <w:keepNext/>
              <w:keepLines/>
              <w:spacing w:after="0" w:line="240" w:lineRule="auto"/>
              <w:jc w:val="right"/>
            </w:pPr>
            <w:r>
              <w:rPr>
                <w:sz w:val="18"/>
              </w:rPr>
              <w:t>7.398.039,97</w:t>
            </w:r>
          </w:p>
        </w:tc>
        <w:tc>
          <w:tcPr>
            <w:tcW w:w="700" w:type="dxa"/>
            <w:tcMar>
              <w:top w:w="0" w:type="dxa"/>
              <w:bottom w:w="0" w:type="dxa"/>
            </w:tcMar>
            <w:vAlign w:val="center"/>
          </w:tcPr>
          <w:p w:rsidR="00E4472F" w:rsidRDefault="00000000">
            <w:pPr>
              <w:keepNext/>
              <w:keepLines/>
              <w:spacing w:after="0" w:line="240" w:lineRule="auto"/>
              <w:jc w:val="right"/>
            </w:pPr>
            <w:r>
              <w:rPr>
                <w:sz w:val="18"/>
              </w:rPr>
              <w:t>107,8</w:t>
            </w:r>
          </w:p>
        </w:tc>
      </w:tr>
    </w:tbl>
    <w:p w:rsidR="00E4472F" w:rsidRDefault="00E4472F">
      <w:pPr>
        <w:spacing w:after="0"/>
      </w:pPr>
    </w:p>
    <w:p w:rsidR="00E4472F" w:rsidRDefault="00000000">
      <w:pPr>
        <w:jc w:val="both"/>
      </w:pPr>
      <w:r>
        <w:t>Na odjeljku 022 Postrojenja i oprema evidentirana je vrijednost postojanja i opreme Bolnice nakon ispravka vrijednosti postrojenja i opreme u iznosu od 7.398.039,97 eura.</w:t>
      </w:r>
    </w:p>
    <w:p w:rsidR="00E4472F" w:rsidRDefault="00E4472F"/>
    <w:p w:rsidR="00E4472F" w:rsidRDefault="00000000">
      <w:pPr>
        <w:keepNext/>
        <w:spacing w:line="240" w:lineRule="auto"/>
        <w:jc w:val="center"/>
      </w:pPr>
      <w:r>
        <w:rPr>
          <w:sz w:val="28"/>
        </w:rPr>
        <w:t>Bilješka 102.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0221</w:t>
            </w:r>
          </w:p>
        </w:tc>
        <w:tc>
          <w:tcPr>
            <w:tcW w:w="3180" w:type="dxa"/>
            <w:tcMar>
              <w:top w:w="0" w:type="dxa"/>
              <w:bottom w:w="0" w:type="dxa"/>
            </w:tcMar>
            <w:vAlign w:val="center"/>
          </w:tcPr>
          <w:p w:rsidR="00E4472F" w:rsidRDefault="00000000">
            <w:pPr>
              <w:keepNext/>
              <w:keepLines/>
              <w:spacing w:after="0" w:line="240" w:lineRule="auto"/>
            </w:pPr>
            <w:r>
              <w:rPr>
                <w:sz w:val="18"/>
              </w:rPr>
              <w:t>Uredska oprema i namještaj</w:t>
            </w:r>
          </w:p>
        </w:tc>
        <w:tc>
          <w:tcPr>
            <w:tcW w:w="700" w:type="dxa"/>
            <w:tcMar>
              <w:top w:w="0" w:type="dxa"/>
              <w:bottom w:w="0" w:type="dxa"/>
            </w:tcMar>
            <w:vAlign w:val="center"/>
          </w:tcPr>
          <w:p w:rsidR="00E4472F" w:rsidRDefault="00000000">
            <w:pPr>
              <w:keepNext/>
              <w:keepLines/>
              <w:spacing w:after="0" w:line="240" w:lineRule="auto"/>
            </w:pPr>
            <w:r>
              <w:rPr>
                <w:sz w:val="18"/>
              </w:rPr>
              <w:t>0221</w:t>
            </w:r>
          </w:p>
        </w:tc>
        <w:tc>
          <w:tcPr>
            <w:tcW w:w="1860" w:type="dxa"/>
            <w:tcMar>
              <w:top w:w="0" w:type="dxa"/>
              <w:bottom w:w="0" w:type="dxa"/>
            </w:tcMar>
            <w:vAlign w:val="center"/>
          </w:tcPr>
          <w:p w:rsidR="00E4472F" w:rsidRDefault="00000000">
            <w:pPr>
              <w:keepNext/>
              <w:keepLines/>
              <w:spacing w:after="0" w:line="240" w:lineRule="auto"/>
              <w:jc w:val="right"/>
            </w:pPr>
            <w:r>
              <w:rPr>
                <w:sz w:val="18"/>
              </w:rPr>
              <w:t>2.360.295,51</w:t>
            </w:r>
          </w:p>
        </w:tc>
        <w:tc>
          <w:tcPr>
            <w:tcW w:w="1860" w:type="dxa"/>
            <w:tcMar>
              <w:top w:w="0" w:type="dxa"/>
              <w:bottom w:w="0" w:type="dxa"/>
            </w:tcMar>
            <w:vAlign w:val="center"/>
          </w:tcPr>
          <w:p w:rsidR="00E4472F" w:rsidRDefault="00000000">
            <w:pPr>
              <w:keepNext/>
              <w:keepLines/>
              <w:spacing w:after="0" w:line="240" w:lineRule="auto"/>
              <w:jc w:val="right"/>
            </w:pPr>
            <w:r>
              <w:rPr>
                <w:sz w:val="18"/>
              </w:rPr>
              <w:t>2.389.273,47</w:t>
            </w:r>
          </w:p>
        </w:tc>
        <w:tc>
          <w:tcPr>
            <w:tcW w:w="700" w:type="dxa"/>
            <w:tcMar>
              <w:top w:w="0" w:type="dxa"/>
              <w:bottom w:w="0" w:type="dxa"/>
            </w:tcMar>
            <w:vAlign w:val="center"/>
          </w:tcPr>
          <w:p w:rsidR="00E4472F" w:rsidRDefault="00000000">
            <w:pPr>
              <w:keepNext/>
              <w:keepLines/>
              <w:spacing w:after="0" w:line="240" w:lineRule="auto"/>
              <w:jc w:val="right"/>
            </w:pPr>
            <w:r>
              <w:rPr>
                <w:sz w:val="18"/>
              </w:rPr>
              <w:t>101,2</w:t>
            </w:r>
          </w:p>
        </w:tc>
      </w:tr>
    </w:tbl>
    <w:p w:rsidR="00E4472F" w:rsidRDefault="00E4472F">
      <w:pPr>
        <w:spacing w:after="0"/>
      </w:pPr>
    </w:p>
    <w:p w:rsidR="00E4472F" w:rsidRDefault="00000000">
      <w:pPr>
        <w:jc w:val="both"/>
      </w:pPr>
      <w:r>
        <w:t>U 2025. godini vrijednost uredske opreme i namještaja iznosi 2.389.273,47 eura i povećana je za 28.977,96 eura odnosno za 1,2% u odnosu na prethodnu godinu. U 2025. godini Bolnica je nabavila računala i računalne opreme u vrijednosti od 159.436,45 eura te uredskog namještaja u vrijednosti od 22.142,55 eura. U 2025. evidentiran je i ispravak vrijednosti računala i računalne opreme od 76.845,35 eura, uredskog namještaja od 74.810,19 eura te ostale uredske opreme u iznosu od 945,50 eura.</w:t>
      </w:r>
    </w:p>
    <w:p w:rsidR="00E4472F" w:rsidRDefault="00E4472F"/>
    <w:p w:rsidR="00E4472F" w:rsidRDefault="00000000">
      <w:pPr>
        <w:keepNext/>
        <w:spacing w:line="240" w:lineRule="auto"/>
        <w:jc w:val="center"/>
      </w:pPr>
      <w:r>
        <w:rPr>
          <w:sz w:val="28"/>
        </w:rPr>
        <w:t>Bilješka 103.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0222</w:t>
            </w:r>
          </w:p>
        </w:tc>
        <w:tc>
          <w:tcPr>
            <w:tcW w:w="3180" w:type="dxa"/>
            <w:tcMar>
              <w:top w:w="0" w:type="dxa"/>
              <w:bottom w:w="0" w:type="dxa"/>
            </w:tcMar>
            <w:vAlign w:val="center"/>
          </w:tcPr>
          <w:p w:rsidR="00E4472F" w:rsidRDefault="00000000">
            <w:pPr>
              <w:keepNext/>
              <w:keepLines/>
              <w:spacing w:after="0" w:line="240" w:lineRule="auto"/>
            </w:pPr>
            <w:r>
              <w:rPr>
                <w:sz w:val="18"/>
              </w:rPr>
              <w:t>Komunikacijska oprema</w:t>
            </w:r>
          </w:p>
        </w:tc>
        <w:tc>
          <w:tcPr>
            <w:tcW w:w="700" w:type="dxa"/>
            <w:tcMar>
              <w:top w:w="0" w:type="dxa"/>
              <w:bottom w:w="0" w:type="dxa"/>
            </w:tcMar>
            <w:vAlign w:val="center"/>
          </w:tcPr>
          <w:p w:rsidR="00E4472F" w:rsidRDefault="00000000">
            <w:pPr>
              <w:keepNext/>
              <w:keepLines/>
              <w:spacing w:after="0" w:line="240" w:lineRule="auto"/>
            </w:pPr>
            <w:r>
              <w:rPr>
                <w:sz w:val="18"/>
              </w:rPr>
              <w:t>0222</w:t>
            </w:r>
          </w:p>
        </w:tc>
        <w:tc>
          <w:tcPr>
            <w:tcW w:w="1860" w:type="dxa"/>
            <w:tcMar>
              <w:top w:w="0" w:type="dxa"/>
              <w:bottom w:w="0" w:type="dxa"/>
            </w:tcMar>
            <w:vAlign w:val="center"/>
          </w:tcPr>
          <w:p w:rsidR="00E4472F" w:rsidRDefault="00000000">
            <w:pPr>
              <w:keepNext/>
              <w:keepLines/>
              <w:spacing w:after="0" w:line="240" w:lineRule="auto"/>
              <w:jc w:val="right"/>
            </w:pPr>
            <w:r>
              <w:rPr>
                <w:sz w:val="18"/>
              </w:rPr>
              <w:t>319.574,08</w:t>
            </w:r>
          </w:p>
        </w:tc>
        <w:tc>
          <w:tcPr>
            <w:tcW w:w="1860" w:type="dxa"/>
            <w:tcMar>
              <w:top w:w="0" w:type="dxa"/>
              <w:bottom w:w="0" w:type="dxa"/>
            </w:tcMar>
            <w:vAlign w:val="center"/>
          </w:tcPr>
          <w:p w:rsidR="00E4472F" w:rsidRDefault="00000000">
            <w:pPr>
              <w:keepNext/>
              <w:keepLines/>
              <w:spacing w:after="0" w:line="240" w:lineRule="auto"/>
              <w:jc w:val="right"/>
            </w:pPr>
            <w:r>
              <w:rPr>
                <w:sz w:val="18"/>
              </w:rPr>
              <w:t>307.446,57</w:t>
            </w:r>
          </w:p>
        </w:tc>
        <w:tc>
          <w:tcPr>
            <w:tcW w:w="700" w:type="dxa"/>
            <w:tcMar>
              <w:top w:w="0" w:type="dxa"/>
              <w:bottom w:w="0" w:type="dxa"/>
            </w:tcMar>
            <w:vAlign w:val="center"/>
          </w:tcPr>
          <w:p w:rsidR="00E4472F" w:rsidRDefault="00000000">
            <w:pPr>
              <w:keepNext/>
              <w:keepLines/>
              <w:spacing w:after="0" w:line="240" w:lineRule="auto"/>
              <w:jc w:val="right"/>
            </w:pPr>
            <w:r>
              <w:rPr>
                <w:sz w:val="18"/>
              </w:rPr>
              <w:t>96,2</w:t>
            </w:r>
          </w:p>
        </w:tc>
      </w:tr>
    </w:tbl>
    <w:p w:rsidR="00E4472F" w:rsidRDefault="00E4472F">
      <w:pPr>
        <w:spacing w:after="0"/>
      </w:pPr>
    </w:p>
    <w:p w:rsidR="00E4472F" w:rsidRDefault="00000000">
      <w:r>
        <w:t>U 2025. godini vrijednost komunikacijske opreme iznosi 307.446,57 eura i smanjena je za 12.127,51 eura u odnosu na prethodnu godinu. U 2025. godini Bolnica nije nabavljala novu komunikacijsku opremu, a evidentiran je ispravak vrijednosti komunikacijske opreme od 12.127,51 eura.</w:t>
      </w:r>
    </w:p>
    <w:p w:rsidR="00E4472F" w:rsidRDefault="00E4472F"/>
    <w:p w:rsidR="00E4472F" w:rsidRDefault="00000000">
      <w:pPr>
        <w:keepNext/>
        <w:spacing w:line="240" w:lineRule="auto"/>
        <w:jc w:val="center"/>
      </w:pPr>
      <w:r>
        <w:rPr>
          <w:sz w:val="28"/>
        </w:rPr>
        <w:t>Bilješka 104.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0223</w:t>
            </w:r>
          </w:p>
        </w:tc>
        <w:tc>
          <w:tcPr>
            <w:tcW w:w="3180" w:type="dxa"/>
            <w:tcMar>
              <w:top w:w="0" w:type="dxa"/>
              <w:bottom w:w="0" w:type="dxa"/>
            </w:tcMar>
            <w:vAlign w:val="center"/>
          </w:tcPr>
          <w:p w:rsidR="00E4472F" w:rsidRDefault="00000000">
            <w:pPr>
              <w:keepNext/>
              <w:keepLines/>
              <w:spacing w:after="0" w:line="240" w:lineRule="auto"/>
            </w:pPr>
            <w:r>
              <w:rPr>
                <w:sz w:val="18"/>
              </w:rPr>
              <w:t>Oprema za održavanje i zaštitu</w:t>
            </w:r>
          </w:p>
        </w:tc>
        <w:tc>
          <w:tcPr>
            <w:tcW w:w="700" w:type="dxa"/>
            <w:tcMar>
              <w:top w:w="0" w:type="dxa"/>
              <w:bottom w:w="0" w:type="dxa"/>
            </w:tcMar>
            <w:vAlign w:val="center"/>
          </w:tcPr>
          <w:p w:rsidR="00E4472F" w:rsidRDefault="00000000">
            <w:pPr>
              <w:keepNext/>
              <w:keepLines/>
              <w:spacing w:after="0" w:line="240" w:lineRule="auto"/>
            </w:pPr>
            <w:r>
              <w:rPr>
                <w:sz w:val="18"/>
              </w:rPr>
              <w:t>0223</w:t>
            </w:r>
          </w:p>
        </w:tc>
        <w:tc>
          <w:tcPr>
            <w:tcW w:w="1860" w:type="dxa"/>
            <w:tcMar>
              <w:top w:w="0" w:type="dxa"/>
              <w:bottom w:w="0" w:type="dxa"/>
            </w:tcMar>
            <w:vAlign w:val="center"/>
          </w:tcPr>
          <w:p w:rsidR="00E4472F" w:rsidRDefault="00000000">
            <w:pPr>
              <w:keepNext/>
              <w:keepLines/>
              <w:spacing w:after="0" w:line="240" w:lineRule="auto"/>
              <w:jc w:val="right"/>
            </w:pPr>
            <w:r>
              <w:rPr>
                <w:sz w:val="18"/>
              </w:rPr>
              <w:t>827.988,16</w:t>
            </w:r>
          </w:p>
        </w:tc>
        <w:tc>
          <w:tcPr>
            <w:tcW w:w="1860" w:type="dxa"/>
            <w:tcMar>
              <w:top w:w="0" w:type="dxa"/>
              <w:bottom w:w="0" w:type="dxa"/>
            </w:tcMar>
            <w:vAlign w:val="center"/>
          </w:tcPr>
          <w:p w:rsidR="00E4472F" w:rsidRDefault="00000000">
            <w:pPr>
              <w:keepNext/>
              <w:keepLines/>
              <w:spacing w:after="0" w:line="240" w:lineRule="auto"/>
              <w:jc w:val="right"/>
            </w:pPr>
            <w:r>
              <w:rPr>
                <w:sz w:val="18"/>
              </w:rPr>
              <w:t>742.162,45</w:t>
            </w:r>
          </w:p>
        </w:tc>
        <w:tc>
          <w:tcPr>
            <w:tcW w:w="700" w:type="dxa"/>
            <w:tcMar>
              <w:top w:w="0" w:type="dxa"/>
              <w:bottom w:w="0" w:type="dxa"/>
            </w:tcMar>
            <w:vAlign w:val="center"/>
          </w:tcPr>
          <w:p w:rsidR="00E4472F" w:rsidRDefault="00000000">
            <w:pPr>
              <w:keepNext/>
              <w:keepLines/>
              <w:spacing w:after="0" w:line="240" w:lineRule="auto"/>
              <w:jc w:val="right"/>
            </w:pPr>
            <w:r>
              <w:rPr>
                <w:sz w:val="18"/>
              </w:rPr>
              <w:t>89,6</w:t>
            </w:r>
          </w:p>
        </w:tc>
      </w:tr>
    </w:tbl>
    <w:p w:rsidR="00E4472F" w:rsidRDefault="00E4472F">
      <w:pPr>
        <w:spacing w:after="0"/>
      </w:pPr>
    </w:p>
    <w:p w:rsidR="00E4472F" w:rsidRDefault="00000000">
      <w:pPr>
        <w:jc w:val="both"/>
      </w:pPr>
      <w:r>
        <w:t>U 2025. godini evidentirana je vrijednost opreme za održavanje i zaštitu u iznosu od 742.162,45 eura, što predstavlja smanjenje vrijednosti navedene opreme od 85.825,71 eura. U 2025. Bolnica je nabavila opreme za grijanje, ventilaciju i hlađenje u iznosu od 19.556,40 eura, a na kraju godine evidentiran je ispravak vrijednosti opreme za održavanje i zaštitu u iznosu od 105.382,11 eura.</w:t>
      </w:r>
    </w:p>
    <w:p w:rsidR="00E4472F" w:rsidRDefault="00E4472F"/>
    <w:p w:rsidR="00E4472F" w:rsidRDefault="00000000">
      <w:pPr>
        <w:keepNext/>
        <w:spacing w:line="240" w:lineRule="auto"/>
        <w:jc w:val="center"/>
      </w:pPr>
      <w:r>
        <w:rPr>
          <w:sz w:val="28"/>
        </w:rPr>
        <w:lastRenderedPageBreak/>
        <w:t>Bilješka 105.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0224</w:t>
            </w:r>
          </w:p>
        </w:tc>
        <w:tc>
          <w:tcPr>
            <w:tcW w:w="3180" w:type="dxa"/>
            <w:tcMar>
              <w:top w:w="0" w:type="dxa"/>
              <w:bottom w:w="0" w:type="dxa"/>
            </w:tcMar>
            <w:vAlign w:val="center"/>
          </w:tcPr>
          <w:p w:rsidR="00E4472F" w:rsidRDefault="00000000">
            <w:pPr>
              <w:keepNext/>
              <w:keepLines/>
              <w:spacing w:after="0" w:line="240" w:lineRule="auto"/>
            </w:pPr>
            <w:r>
              <w:rPr>
                <w:sz w:val="18"/>
              </w:rPr>
              <w:t>Medicinska i laboratorijska oprema</w:t>
            </w:r>
          </w:p>
        </w:tc>
        <w:tc>
          <w:tcPr>
            <w:tcW w:w="700" w:type="dxa"/>
            <w:tcMar>
              <w:top w:w="0" w:type="dxa"/>
              <w:bottom w:w="0" w:type="dxa"/>
            </w:tcMar>
            <w:vAlign w:val="center"/>
          </w:tcPr>
          <w:p w:rsidR="00E4472F" w:rsidRDefault="00000000">
            <w:pPr>
              <w:keepNext/>
              <w:keepLines/>
              <w:spacing w:after="0" w:line="240" w:lineRule="auto"/>
            </w:pPr>
            <w:r>
              <w:rPr>
                <w:sz w:val="18"/>
              </w:rPr>
              <w:t>0224</w:t>
            </w:r>
          </w:p>
        </w:tc>
        <w:tc>
          <w:tcPr>
            <w:tcW w:w="1860" w:type="dxa"/>
            <w:tcMar>
              <w:top w:w="0" w:type="dxa"/>
              <w:bottom w:w="0" w:type="dxa"/>
            </w:tcMar>
            <w:vAlign w:val="center"/>
          </w:tcPr>
          <w:p w:rsidR="00E4472F" w:rsidRDefault="00000000">
            <w:pPr>
              <w:keepNext/>
              <w:keepLines/>
              <w:spacing w:after="0" w:line="240" w:lineRule="auto"/>
              <w:jc w:val="right"/>
            </w:pPr>
            <w:r>
              <w:rPr>
                <w:sz w:val="18"/>
              </w:rPr>
              <w:t>33.559.837,27</w:t>
            </w:r>
          </w:p>
        </w:tc>
        <w:tc>
          <w:tcPr>
            <w:tcW w:w="1860" w:type="dxa"/>
            <w:tcMar>
              <w:top w:w="0" w:type="dxa"/>
              <w:bottom w:w="0" w:type="dxa"/>
            </w:tcMar>
            <w:vAlign w:val="center"/>
          </w:tcPr>
          <w:p w:rsidR="00E4472F" w:rsidRDefault="00000000">
            <w:pPr>
              <w:keepNext/>
              <w:keepLines/>
              <w:spacing w:after="0" w:line="240" w:lineRule="auto"/>
              <w:jc w:val="right"/>
            </w:pPr>
            <w:r>
              <w:rPr>
                <w:sz w:val="18"/>
              </w:rPr>
              <w:t>35.883.390,63</w:t>
            </w:r>
          </w:p>
        </w:tc>
        <w:tc>
          <w:tcPr>
            <w:tcW w:w="700" w:type="dxa"/>
            <w:tcMar>
              <w:top w:w="0" w:type="dxa"/>
              <w:bottom w:w="0" w:type="dxa"/>
            </w:tcMar>
            <w:vAlign w:val="center"/>
          </w:tcPr>
          <w:p w:rsidR="00E4472F" w:rsidRDefault="00000000">
            <w:pPr>
              <w:keepNext/>
              <w:keepLines/>
              <w:spacing w:after="0" w:line="240" w:lineRule="auto"/>
              <w:jc w:val="right"/>
            </w:pPr>
            <w:r>
              <w:rPr>
                <w:sz w:val="18"/>
              </w:rPr>
              <w:t>106,9</w:t>
            </w:r>
          </w:p>
        </w:tc>
      </w:tr>
    </w:tbl>
    <w:p w:rsidR="00E4472F" w:rsidRDefault="00E4472F">
      <w:pPr>
        <w:spacing w:after="0"/>
      </w:pPr>
    </w:p>
    <w:p w:rsidR="00E4472F" w:rsidRDefault="00000000">
      <w:pPr>
        <w:jc w:val="both"/>
      </w:pPr>
      <w:r>
        <w:t xml:space="preserve">U 2025. godini evidentirana je ukupna vrijednost medicinske i laboratorijske opreme u iznosu od 35.883.390,63 eura. Tijekom 2025. nabavljena je medicinska oprema ukupne vrijednosti od 3.797.128,49 eura, od kojih je neznačajnija vrijednost: CT uređaj s 256 detektorskih redova 1.232.397,00 eura, laserska fundus kamera s integriranim OCT-om 250.000 eura, </w:t>
      </w:r>
      <w:proofErr w:type="spellStart"/>
      <w:r>
        <w:t>artroskopski</w:t>
      </w:r>
      <w:proofErr w:type="spellEnd"/>
      <w:r>
        <w:t xml:space="preserve"> stup 139.994 eura, FESS stup 99.700 eura, uređaj za kapilarnu </w:t>
      </w:r>
      <w:proofErr w:type="spellStart"/>
      <w:r>
        <w:t>elektroforezu</w:t>
      </w:r>
      <w:proofErr w:type="spellEnd"/>
      <w:r>
        <w:t xml:space="preserve"> – sekvencer 93.772 eura, </w:t>
      </w:r>
      <w:proofErr w:type="spellStart"/>
      <w:r>
        <w:t>elektrofiziološka</w:t>
      </w:r>
      <w:proofErr w:type="spellEnd"/>
      <w:r>
        <w:t xml:space="preserve"> stanica 87.375 eura, </w:t>
      </w:r>
      <w:proofErr w:type="spellStart"/>
      <w:r>
        <w:t>anasteziološki</w:t>
      </w:r>
      <w:proofErr w:type="spellEnd"/>
      <w:r>
        <w:t xml:space="preserve"> uređaj 73.827 eura, medicinske pile/bušilice 48.300 eura, </w:t>
      </w:r>
      <w:proofErr w:type="spellStart"/>
      <w:r>
        <w:t>kolonoskop</w:t>
      </w:r>
      <w:proofErr w:type="spellEnd"/>
      <w:r>
        <w:t xml:space="preserve"> 43.748 eura, gastroskop 43.731 eura, prijenosni </w:t>
      </w:r>
      <w:proofErr w:type="spellStart"/>
      <w:r>
        <w:t>polismonograf</w:t>
      </w:r>
      <w:proofErr w:type="spellEnd"/>
      <w:r>
        <w:t xml:space="preserve"> 37.250 eura, </w:t>
      </w:r>
      <w:proofErr w:type="spellStart"/>
      <w:r>
        <w:t>duodenoskop</w:t>
      </w:r>
      <w:proofErr w:type="spellEnd"/>
      <w:r>
        <w:t xml:space="preserve"> 35.002 eura, </w:t>
      </w:r>
      <w:proofErr w:type="spellStart"/>
      <w:r>
        <w:t>injektor</w:t>
      </w:r>
      <w:proofErr w:type="spellEnd"/>
      <w:r>
        <w:t xml:space="preserve"> kontrasta za mamografiju 24.875 eura te ostale medicinske opreme i laboratorijska oprema ukupne vrijednosti od 68.471,64 eura. Na kraju 2025. izvršen je ispravak vrijednosti navedene opreme u iznosu od 1.542.046,77 eura.</w:t>
      </w:r>
    </w:p>
    <w:p w:rsidR="00E4472F" w:rsidRDefault="00E4472F"/>
    <w:p w:rsidR="00E4472F" w:rsidRDefault="00000000">
      <w:pPr>
        <w:keepNext/>
        <w:spacing w:line="240" w:lineRule="auto"/>
        <w:jc w:val="center"/>
      </w:pPr>
      <w:r>
        <w:rPr>
          <w:sz w:val="28"/>
        </w:rPr>
        <w:t>Bilješka 106.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0225</w:t>
            </w:r>
          </w:p>
        </w:tc>
        <w:tc>
          <w:tcPr>
            <w:tcW w:w="3180" w:type="dxa"/>
            <w:tcMar>
              <w:top w:w="0" w:type="dxa"/>
              <w:bottom w:w="0" w:type="dxa"/>
            </w:tcMar>
            <w:vAlign w:val="center"/>
          </w:tcPr>
          <w:p w:rsidR="00E4472F" w:rsidRDefault="00000000">
            <w:pPr>
              <w:keepNext/>
              <w:keepLines/>
              <w:spacing w:after="0" w:line="240" w:lineRule="auto"/>
            </w:pPr>
            <w:r>
              <w:rPr>
                <w:sz w:val="18"/>
              </w:rPr>
              <w:t>Instrumenti i uređaji</w:t>
            </w:r>
          </w:p>
        </w:tc>
        <w:tc>
          <w:tcPr>
            <w:tcW w:w="700" w:type="dxa"/>
            <w:tcMar>
              <w:top w:w="0" w:type="dxa"/>
              <w:bottom w:w="0" w:type="dxa"/>
            </w:tcMar>
            <w:vAlign w:val="center"/>
          </w:tcPr>
          <w:p w:rsidR="00E4472F" w:rsidRDefault="00000000">
            <w:pPr>
              <w:keepNext/>
              <w:keepLines/>
              <w:spacing w:after="0" w:line="240" w:lineRule="auto"/>
            </w:pPr>
            <w:r>
              <w:rPr>
                <w:sz w:val="18"/>
              </w:rPr>
              <w:t>0225</w:t>
            </w:r>
          </w:p>
        </w:tc>
        <w:tc>
          <w:tcPr>
            <w:tcW w:w="1860" w:type="dxa"/>
            <w:tcMar>
              <w:top w:w="0" w:type="dxa"/>
              <w:bottom w:w="0" w:type="dxa"/>
            </w:tcMar>
            <w:vAlign w:val="center"/>
          </w:tcPr>
          <w:p w:rsidR="00E4472F" w:rsidRDefault="00000000">
            <w:pPr>
              <w:keepNext/>
              <w:keepLines/>
              <w:spacing w:after="0" w:line="240" w:lineRule="auto"/>
              <w:jc w:val="right"/>
            </w:pPr>
            <w:r>
              <w:rPr>
                <w:sz w:val="18"/>
              </w:rPr>
              <w:t>1.853.632,26</w:t>
            </w:r>
          </w:p>
        </w:tc>
        <w:tc>
          <w:tcPr>
            <w:tcW w:w="1860" w:type="dxa"/>
            <w:tcMar>
              <w:top w:w="0" w:type="dxa"/>
              <w:bottom w:w="0" w:type="dxa"/>
            </w:tcMar>
            <w:vAlign w:val="center"/>
          </w:tcPr>
          <w:p w:rsidR="00E4472F" w:rsidRDefault="00000000">
            <w:pPr>
              <w:keepNext/>
              <w:keepLines/>
              <w:spacing w:after="0" w:line="240" w:lineRule="auto"/>
              <w:jc w:val="right"/>
            </w:pPr>
            <w:r>
              <w:rPr>
                <w:sz w:val="18"/>
              </w:rPr>
              <w:t>1.823.038,38</w:t>
            </w:r>
          </w:p>
        </w:tc>
        <w:tc>
          <w:tcPr>
            <w:tcW w:w="700" w:type="dxa"/>
            <w:tcMar>
              <w:top w:w="0" w:type="dxa"/>
              <w:bottom w:w="0" w:type="dxa"/>
            </w:tcMar>
            <w:vAlign w:val="center"/>
          </w:tcPr>
          <w:p w:rsidR="00E4472F" w:rsidRDefault="00000000">
            <w:pPr>
              <w:keepNext/>
              <w:keepLines/>
              <w:spacing w:after="0" w:line="240" w:lineRule="auto"/>
              <w:jc w:val="right"/>
            </w:pPr>
            <w:r>
              <w:rPr>
                <w:sz w:val="18"/>
              </w:rPr>
              <w:t>98,3</w:t>
            </w:r>
          </w:p>
        </w:tc>
      </w:tr>
    </w:tbl>
    <w:p w:rsidR="00E4472F" w:rsidRDefault="00E4472F">
      <w:pPr>
        <w:spacing w:after="0"/>
      </w:pPr>
    </w:p>
    <w:p w:rsidR="00E4472F" w:rsidRDefault="00000000">
      <w:pPr>
        <w:jc w:val="both"/>
      </w:pPr>
      <w:r>
        <w:t>Vrijednost  instrumenata i uređaja u 2025. godini iznosi 1.823.038,38 eura i manja je u odnosu na 2024. za 30.593,88 eura. U 2025. nabavljeno je instrumenata i ostalih uređaja u vrijednosti od 29.666,90 eura, a ispravljena je vrijednost istih za 60.260,78 eura, zbog čega je došlo do smanjenja vrijednosti instrumenata i uređaja za 1,7% u odnosu na 2024. godinu.</w:t>
      </w:r>
    </w:p>
    <w:p w:rsidR="00E4472F" w:rsidRDefault="00E4472F"/>
    <w:p w:rsidR="00E4472F" w:rsidRDefault="00000000">
      <w:pPr>
        <w:keepNext/>
        <w:spacing w:line="240" w:lineRule="auto"/>
        <w:jc w:val="center"/>
      </w:pPr>
      <w:r>
        <w:rPr>
          <w:sz w:val="28"/>
        </w:rPr>
        <w:t>Bilješka 107.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0231</w:t>
            </w:r>
          </w:p>
        </w:tc>
        <w:tc>
          <w:tcPr>
            <w:tcW w:w="3180" w:type="dxa"/>
            <w:tcMar>
              <w:top w:w="0" w:type="dxa"/>
              <w:bottom w:w="0" w:type="dxa"/>
            </w:tcMar>
            <w:vAlign w:val="center"/>
          </w:tcPr>
          <w:p w:rsidR="00E4472F" w:rsidRDefault="00000000">
            <w:pPr>
              <w:keepNext/>
              <w:keepLines/>
              <w:spacing w:after="0" w:line="240" w:lineRule="auto"/>
            </w:pPr>
            <w:r>
              <w:rPr>
                <w:sz w:val="18"/>
              </w:rPr>
              <w:t>Prijevozna sredstva u cestovnom prometu</w:t>
            </w:r>
          </w:p>
        </w:tc>
        <w:tc>
          <w:tcPr>
            <w:tcW w:w="700" w:type="dxa"/>
            <w:tcMar>
              <w:top w:w="0" w:type="dxa"/>
              <w:bottom w:w="0" w:type="dxa"/>
            </w:tcMar>
            <w:vAlign w:val="center"/>
          </w:tcPr>
          <w:p w:rsidR="00E4472F" w:rsidRDefault="00000000">
            <w:pPr>
              <w:keepNext/>
              <w:keepLines/>
              <w:spacing w:after="0" w:line="240" w:lineRule="auto"/>
            </w:pPr>
            <w:r>
              <w:rPr>
                <w:sz w:val="18"/>
              </w:rPr>
              <w:t>0231</w:t>
            </w:r>
          </w:p>
        </w:tc>
        <w:tc>
          <w:tcPr>
            <w:tcW w:w="1860" w:type="dxa"/>
            <w:tcMar>
              <w:top w:w="0" w:type="dxa"/>
              <w:bottom w:w="0" w:type="dxa"/>
            </w:tcMar>
            <w:vAlign w:val="center"/>
          </w:tcPr>
          <w:p w:rsidR="00E4472F" w:rsidRDefault="00000000">
            <w:pPr>
              <w:keepNext/>
              <w:keepLines/>
              <w:spacing w:after="0" w:line="240" w:lineRule="auto"/>
              <w:jc w:val="right"/>
            </w:pPr>
            <w:r>
              <w:rPr>
                <w:sz w:val="18"/>
              </w:rPr>
              <w:t>60.550,30</w:t>
            </w:r>
          </w:p>
        </w:tc>
        <w:tc>
          <w:tcPr>
            <w:tcW w:w="1860" w:type="dxa"/>
            <w:tcMar>
              <w:top w:w="0" w:type="dxa"/>
              <w:bottom w:w="0" w:type="dxa"/>
            </w:tcMar>
            <w:vAlign w:val="center"/>
          </w:tcPr>
          <w:p w:rsidR="00E4472F" w:rsidRDefault="00000000">
            <w:pPr>
              <w:keepNext/>
              <w:keepLines/>
              <w:spacing w:after="0" w:line="240" w:lineRule="auto"/>
              <w:jc w:val="right"/>
            </w:pPr>
            <w:r>
              <w:rPr>
                <w:sz w:val="18"/>
              </w:rPr>
              <w:t>60.550,30</w:t>
            </w:r>
          </w:p>
        </w:tc>
        <w:tc>
          <w:tcPr>
            <w:tcW w:w="700" w:type="dxa"/>
            <w:tcMar>
              <w:top w:w="0" w:type="dxa"/>
              <w:bottom w:w="0" w:type="dxa"/>
            </w:tcMar>
            <w:vAlign w:val="center"/>
          </w:tcPr>
          <w:p w:rsidR="00E4472F" w:rsidRDefault="00000000">
            <w:pPr>
              <w:keepNext/>
              <w:keepLines/>
              <w:spacing w:after="0" w:line="240" w:lineRule="auto"/>
              <w:jc w:val="right"/>
            </w:pPr>
            <w:r>
              <w:rPr>
                <w:sz w:val="18"/>
              </w:rPr>
              <w:t>100</w:t>
            </w:r>
          </w:p>
        </w:tc>
      </w:tr>
    </w:tbl>
    <w:p w:rsidR="00E4472F" w:rsidRDefault="00E4472F">
      <w:pPr>
        <w:spacing w:after="0"/>
      </w:pPr>
    </w:p>
    <w:p w:rsidR="00E4472F" w:rsidRDefault="00000000">
      <w:pPr>
        <w:jc w:val="both"/>
      </w:pPr>
      <w:r>
        <w:t>Bolnica posjeduje jedno kombi vozilo vrijednosti 28.643,82 eura i dva osobna vozila ukupne vrijednosti od 31.906,48 eura. U 2025. nije nabavljano novo vozila i vrijednost prijevoznih sredstva je iskazana u istom iznosu od 60.550,30 eura kao i 2024. Ispravak vrijednosti prijevoznih sredstva u 2025. je povećan za 5.162,04 eura i na kraju 2025. iznosi 45.494,23 eura, a evidentiran je na kontu 02923 Ispravak vrijednosti prijevoznih sredstava.</w:t>
      </w:r>
    </w:p>
    <w:p w:rsidR="00E4472F" w:rsidRDefault="00E4472F"/>
    <w:p w:rsidR="00E4472F" w:rsidRDefault="00000000">
      <w:pPr>
        <w:keepNext/>
        <w:spacing w:line="240" w:lineRule="auto"/>
        <w:jc w:val="center"/>
      </w:pPr>
      <w:r>
        <w:rPr>
          <w:sz w:val="28"/>
        </w:rPr>
        <w:t>Bilješka 108.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0241</w:t>
            </w:r>
          </w:p>
        </w:tc>
        <w:tc>
          <w:tcPr>
            <w:tcW w:w="3180" w:type="dxa"/>
            <w:tcMar>
              <w:top w:w="0" w:type="dxa"/>
              <w:bottom w:w="0" w:type="dxa"/>
            </w:tcMar>
            <w:vAlign w:val="center"/>
          </w:tcPr>
          <w:p w:rsidR="00E4472F" w:rsidRDefault="00000000">
            <w:pPr>
              <w:keepNext/>
              <w:keepLines/>
              <w:spacing w:after="0" w:line="240" w:lineRule="auto"/>
            </w:pPr>
            <w:r>
              <w:rPr>
                <w:sz w:val="18"/>
              </w:rPr>
              <w:t>Knjige</w:t>
            </w:r>
          </w:p>
        </w:tc>
        <w:tc>
          <w:tcPr>
            <w:tcW w:w="700" w:type="dxa"/>
            <w:tcMar>
              <w:top w:w="0" w:type="dxa"/>
              <w:bottom w:w="0" w:type="dxa"/>
            </w:tcMar>
            <w:vAlign w:val="center"/>
          </w:tcPr>
          <w:p w:rsidR="00E4472F" w:rsidRDefault="00000000">
            <w:pPr>
              <w:keepNext/>
              <w:keepLines/>
              <w:spacing w:after="0" w:line="240" w:lineRule="auto"/>
            </w:pPr>
            <w:r>
              <w:rPr>
                <w:sz w:val="18"/>
              </w:rPr>
              <w:t>0241</w:t>
            </w:r>
          </w:p>
        </w:tc>
        <w:tc>
          <w:tcPr>
            <w:tcW w:w="1860" w:type="dxa"/>
            <w:tcMar>
              <w:top w:w="0" w:type="dxa"/>
              <w:bottom w:w="0" w:type="dxa"/>
            </w:tcMar>
            <w:vAlign w:val="center"/>
          </w:tcPr>
          <w:p w:rsidR="00E4472F" w:rsidRDefault="00000000">
            <w:pPr>
              <w:keepNext/>
              <w:keepLines/>
              <w:spacing w:after="0" w:line="240" w:lineRule="auto"/>
              <w:jc w:val="right"/>
            </w:pPr>
            <w:r>
              <w:rPr>
                <w:sz w:val="18"/>
              </w:rPr>
              <w:t>226.841,39</w:t>
            </w:r>
          </w:p>
        </w:tc>
        <w:tc>
          <w:tcPr>
            <w:tcW w:w="1860" w:type="dxa"/>
            <w:tcMar>
              <w:top w:w="0" w:type="dxa"/>
              <w:bottom w:w="0" w:type="dxa"/>
            </w:tcMar>
            <w:vAlign w:val="center"/>
          </w:tcPr>
          <w:p w:rsidR="00E4472F" w:rsidRDefault="00000000">
            <w:pPr>
              <w:keepNext/>
              <w:keepLines/>
              <w:spacing w:after="0" w:line="240" w:lineRule="auto"/>
              <w:jc w:val="right"/>
            </w:pPr>
            <w:r>
              <w:rPr>
                <w:sz w:val="18"/>
              </w:rPr>
              <w:t>230.588,80</w:t>
            </w:r>
          </w:p>
        </w:tc>
        <w:tc>
          <w:tcPr>
            <w:tcW w:w="700" w:type="dxa"/>
            <w:tcMar>
              <w:top w:w="0" w:type="dxa"/>
              <w:bottom w:w="0" w:type="dxa"/>
            </w:tcMar>
            <w:vAlign w:val="center"/>
          </w:tcPr>
          <w:p w:rsidR="00E4472F" w:rsidRDefault="00000000">
            <w:pPr>
              <w:keepNext/>
              <w:keepLines/>
              <w:spacing w:after="0" w:line="240" w:lineRule="auto"/>
              <w:jc w:val="right"/>
            </w:pPr>
            <w:r>
              <w:rPr>
                <w:sz w:val="18"/>
              </w:rPr>
              <w:t>101,7</w:t>
            </w:r>
          </w:p>
        </w:tc>
      </w:tr>
    </w:tbl>
    <w:p w:rsidR="00E4472F" w:rsidRDefault="00E4472F">
      <w:pPr>
        <w:spacing w:after="0"/>
      </w:pPr>
    </w:p>
    <w:p w:rsidR="00E4472F" w:rsidRDefault="00000000">
      <w:r>
        <w:t>U 2025. evidentirana je vrijednost knjiga u iznosu od 230.588,80 eura što je za 1,7% više od vrijednosti knjiga u 2024. godini kada su iznosile 226.841,39 eura čime je povećan stručna literatura iz područja biomedicine i zdravstva za potrebe Medicinske knjižnice Bolnice.</w:t>
      </w:r>
    </w:p>
    <w:p w:rsidR="00E4472F" w:rsidRDefault="00E4472F"/>
    <w:p w:rsidR="00E4472F" w:rsidRDefault="00000000">
      <w:pPr>
        <w:keepNext/>
        <w:spacing w:line="240" w:lineRule="auto"/>
        <w:jc w:val="center"/>
      </w:pPr>
      <w:r>
        <w:rPr>
          <w:sz w:val="28"/>
        </w:rPr>
        <w:t>Bilješka 109.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0242</w:t>
            </w:r>
          </w:p>
        </w:tc>
        <w:tc>
          <w:tcPr>
            <w:tcW w:w="3180" w:type="dxa"/>
            <w:tcMar>
              <w:top w:w="0" w:type="dxa"/>
              <w:bottom w:w="0" w:type="dxa"/>
            </w:tcMar>
            <w:vAlign w:val="center"/>
          </w:tcPr>
          <w:p w:rsidR="00E4472F" w:rsidRDefault="00000000">
            <w:pPr>
              <w:keepNext/>
              <w:keepLines/>
              <w:spacing w:after="0" w:line="240" w:lineRule="auto"/>
            </w:pPr>
            <w:r>
              <w:rPr>
                <w:sz w:val="18"/>
              </w:rPr>
              <w:t>Umjetnička djela (izložena u galerijama, muzejima i slično)</w:t>
            </w:r>
          </w:p>
        </w:tc>
        <w:tc>
          <w:tcPr>
            <w:tcW w:w="700" w:type="dxa"/>
            <w:tcMar>
              <w:top w:w="0" w:type="dxa"/>
              <w:bottom w:w="0" w:type="dxa"/>
            </w:tcMar>
            <w:vAlign w:val="center"/>
          </w:tcPr>
          <w:p w:rsidR="00E4472F" w:rsidRDefault="00000000">
            <w:pPr>
              <w:keepNext/>
              <w:keepLines/>
              <w:spacing w:after="0" w:line="240" w:lineRule="auto"/>
            </w:pPr>
            <w:r>
              <w:rPr>
                <w:sz w:val="18"/>
              </w:rPr>
              <w:t>0242</w:t>
            </w:r>
          </w:p>
        </w:tc>
        <w:tc>
          <w:tcPr>
            <w:tcW w:w="1860" w:type="dxa"/>
            <w:tcMar>
              <w:top w:w="0" w:type="dxa"/>
              <w:bottom w:w="0" w:type="dxa"/>
            </w:tcMar>
            <w:vAlign w:val="center"/>
          </w:tcPr>
          <w:p w:rsidR="00E4472F" w:rsidRDefault="00000000">
            <w:pPr>
              <w:keepNext/>
              <w:keepLines/>
              <w:spacing w:after="0" w:line="240" w:lineRule="auto"/>
              <w:jc w:val="right"/>
            </w:pPr>
            <w:r>
              <w:rPr>
                <w:sz w:val="18"/>
              </w:rPr>
              <w:t>53.613,44</w:t>
            </w:r>
          </w:p>
        </w:tc>
        <w:tc>
          <w:tcPr>
            <w:tcW w:w="1860" w:type="dxa"/>
            <w:tcMar>
              <w:top w:w="0" w:type="dxa"/>
              <w:bottom w:w="0" w:type="dxa"/>
            </w:tcMar>
            <w:vAlign w:val="center"/>
          </w:tcPr>
          <w:p w:rsidR="00E4472F" w:rsidRDefault="00000000">
            <w:pPr>
              <w:keepNext/>
              <w:keepLines/>
              <w:spacing w:after="0" w:line="240" w:lineRule="auto"/>
              <w:jc w:val="right"/>
            </w:pPr>
            <w:r>
              <w:rPr>
                <w:sz w:val="18"/>
              </w:rPr>
              <w:t>31.513,33</w:t>
            </w:r>
          </w:p>
        </w:tc>
        <w:tc>
          <w:tcPr>
            <w:tcW w:w="700" w:type="dxa"/>
            <w:tcMar>
              <w:top w:w="0" w:type="dxa"/>
              <w:bottom w:w="0" w:type="dxa"/>
            </w:tcMar>
            <w:vAlign w:val="center"/>
          </w:tcPr>
          <w:p w:rsidR="00E4472F" w:rsidRDefault="00000000">
            <w:pPr>
              <w:keepNext/>
              <w:keepLines/>
              <w:spacing w:after="0" w:line="240" w:lineRule="auto"/>
              <w:jc w:val="right"/>
            </w:pPr>
            <w:r>
              <w:rPr>
                <w:sz w:val="18"/>
              </w:rPr>
              <w:t>58,8</w:t>
            </w:r>
          </w:p>
        </w:tc>
      </w:tr>
    </w:tbl>
    <w:p w:rsidR="00E4472F" w:rsidRDefault="00E4472F">
      <w:pPr>
        <w:spacing w:after="0"/>
      </w:pPr>
    </w:p>
    <w:p w:rsidR="00E4472F" w:rsidRDefault="00000000">
      <w:pPr>
        <w:jc w:val="both"/>
      </w:pPr>
      <w:r>
        <w:t xml:space="preserve">Knjigovodstvena vrijednost umjetničkih djela u 2025. godini iznosila je 31.513,33 eura, dok je u 2024. godini iznosila 53.613,44 eura, što predstavlja smanjenje od 41,2 %. Navedeno smanjenje evidentirano je temeljem rezultata godišnjeg popisa imovine, kojim je utvrđeno nepodudaranje između stvarnog i knjigovodstvenog stanja umjetničkih djela evidentiranih na radilištima Klinike za ginekologiju i </w:t>
      </w:r>
      <w:proofErr w:type="spellStart"/>
      <w:r>
        <w:t>porodništvo</w:t>
      </w:r>
      <w:proofErr w:type="spellEnd"/>
      <w:r>
        <w:t>, sukladno važećim računovodstvenim propisima.</w:t>
      </w:r>
    </w:p>
    <w:p w:rsidR="00E4472F" w:rsidRDefault="00E4472F"/>
    <w:p w:rsidR="00E4472F" w:rsidRDefault="00000000">
      <w:pPr>
        <w:keepNext/>
        <w:spacing w:line="240" w:lineRule="auto"/>
        <w:jc w:val="center"/>
      </w:pPr>
      <w:r>
        <w:rPr>
          <w:sz w:val="28"/>
        </w:rPr>
        <w:t>Bilješka 110.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04</w:t>
            </w:r>
          </w:p>
        </w:tc>
        <w:tc>
          <w:tcPr>
            <w:tcW w:w="3180" w:type="dxa"/>
            <w:tcMar>
              <w:top w:w="0" w:type="dxa"/>
              <w:bottom w:w="0" w:type="dxa"/>
            </w:tcMar>
            <w:vAlign w:val="center"/>
          </w:tcPr>
          <w:p w:rsidR="00E4472F" w:rsidRDefault="00000000">
            <w:pPr>
              <w:keepNext/>
              <w:keepLines/>
              <w:spacing w:after="0" w:line="240" w:lineRule="auto"/>
            </w:pPr>
            <w:r>
              <w:rPr>
                <w:sz w:val="18"/>
              </w:rPr>
              <w:t xml:space="preserve">Sitni inventar i </w:t>
            </w:r>
            <w:proofErr w:type="spellStart"/>
            <w:r>
              <w:rPr>
                <w:sz w:val="18"/>
              </w:rPr>
              <w:t>autogume</w:t>
            </w:r>
            <w:proofErr w:type="spellEnd"/>
            <w:r>
              <w:rPr>
                <w:sz w:val="18"/>
              </w:rPr>
              <w:t xml:space="preserve"> (šifre 041+042-049)</w:t>
            </w:r>
          </w:p>
        </w:tc>
        <w:tc>
          <w:tcPr>
            <w:tcW w:w="700" w:type="dxa"/>
            <w:tcMar>
              <w:top w:w="0" w:type="dxa"/>
              <w:bottom w:w="0" w:type="dxa"/>
            </w:tcMar>
            <w:vAlign w:val="center"/>
          </w:tcPr>
          <w:p w:rsidR="00E4472F" w:rsidRDefault="00000000">
            <w:pPr>
              <w:keepNext/>
              <w:keepLines/>
              <w:spacing w:after="0" w:line="240" w:lineRule="auto"/>
            </w:pPr>
            <w:r>
              <w:rPr>
                <w:sz w:val="18"/>
              </w:rPr>
              <w:t>04</w:t>
            </w:r>
          </w:p>
        </w:tc>
        <w:tc>
          <w:tcPr>
            <w:tcW w:w="1860" w:type="dxa"/>
            <w:tcMar>
              <w:top w:w="0" w:type="dxa"/>
              <w:bottom w:w="0" w:type="dxa"/>
            </w:tcMar>
            <w:vAlign w:val="center"/>
          </w:tcPr>
          <w:p w:rsidR="00E4472F" w:rsidRDefault="00000000">
            <w:pPr>
              <w:keepNext/>
              <w:keepLines/>
              <w:spacing w:after="0" w:line="240" w:lineRule="auto"/>
              <w:jc w:val="right"/>
            </w:pPr>
            <w:r>
              <w:rPr>
                <w:sz w:val="18"/>
              </w:rPr>
              <w:t>103.282,71</w:t>
            </w:r>
          </w:p>
        </w:tc>
        <w:tc>
          <w:tcPr>
            <w:tcW w:w="1860" w:type="dxa"/>
            <w:tcMar>
              <w:top w:w="0" w:type="dxa"/>
              <w:bottom w:w="0" w:type="dxa"/>
            </w:tcMar>
            <w:vAlign w:val="center"/>
          </w:tcPr>
          <w:p w:rsidR="00E4472F" w:rsidRDefault="00000000">
            <w:pPr>
              <w:keepNext/>
              <w:keepLines/>
              <w:spacing w:after="0" w:line="240" w:lineRule="auto"/>
              <w:jc w:val="right"/>
            </w:pPr>
            <w:r>
              <w:rPr>
                <w:sz w:val="18"/>
              </w:rPr>
              <w:t>101.179,66</w:t>
            </w:r>
          </w:p>
        </w:tc>
        <w:tc>
          <w:tcPr>
            <w:tcW w:w="700" w:type="dxa"/>
            <w:tcMar>
              <w:top w:w="0" w:type="dxa"/>
              <w:bottom w:w="0" w:type="dxa"/>
            </w:tcMar>
            <w:vAlign w:val="center"/>
          </w:tcPr>
          <w:p w:rsidR="00E4472F" w:rsidRDefault="00000000">
            <w:pPr>
              <w:keepNext/>
              <w:keepLines/>
              <w:spacing w:after="0" w:line="240" w:lineRule="auto"/>
              <w:jc w:val="right"/>
            </w:pPr>
            <w:r>
              <w:rPr>
                <w:sz w:val="18"/>
              </w:rPr>
              <w:t>98,0</w:t>
            </w:r>
          </w:p>
        </w:tc>
      </w:tr>
    </w:tbl>
    <w:p w:rsidR="00E4472F" w:rsidRDefault="00E4472F">
      <w:pPr>
        <w:spacing w:after="0"/>
      </w:pPr>
    </w:p>
    <w:p w:rsidR="00E4472F" w:rsidRDefault="00000000">
      <w:pPr>
        <w:jc w:val="both"/>
      </w:pPr>
      <w:r>
        <w:t xml:space="preserve">Vrijednost zaliha sitnog inventara i </w:t>
      </w:r>
      <w:proofErr w:type="spellStart"/>
      <w:r>
        <w:t>autoguma</w:t>
      </w:r>
      <w:proofErr w:type="spellEnd"/>
      <w:r>
        <w:t xml:space="preserve"> u 2025. godini iznosila je 101.179,66 eura, dok je u 2024. godini iznosila 103.282,71 eura, što predstavlja smanjenje od približno 2 %. </w:t>
      </w:r>
    </w:p>
    <w:p w:rsidR="00E4472F" w:rsidRDefault="00E4472F"/>
    <w:p w:rsidR="00E4472F" w:rsidRDefault="00000000">
      <w:pPr>
        <w:keepNext/>
        <w:spacing w:line="240" w:lineRule="auto"/>
        <w:jc w:val="center"/>
      </w:pPr>
      <w:r>
        <w:rPr>
          <w:sz w:val="28"/>
        </w:rPr>
        <w:lastRenderedPageBreak/>
        <w:t>Bilješka 111.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041</w:t>
            </w:r>
          </w:p>
        </w:tc>
        <w:tc>
          <w:tcPr>
            <w:tcW w:w="3180" w:type="dxa"/>
            <w:tcMar>
              <w:top w:w="0" w:type="dxa"/>
              <w:bottom w:w="0" w:type="dxa"/>
            </w:tcMar>
            <w:vAlign w:val="center"/>
          </w:tcPr>
          <w:p w:rsidR="00E4472F" w:rsidRDefault="00000000">
            <w:pPr>
              <w:keepNext/>
              <w:keepLines/>
              <w:spacing w:after="0" w:line="240" w:lineRule="auto"/>
            </w:pPr>
            <w:r>
              <w:rPr>
                <w:sz w:val="18"/>
              </w:rPr>
              <w:t xml:space="preserve">Zalihe sitnog inventara i </w:t>
            </w:r>
            <w:proofErr w:type="spellStart"/>
            <w:r>
              <w:rPr>
                <w:sz w:val="18"/>
              </w:rPr>
              <w:t>autoguma</w:t>
            </w:r>
            <w:proofErr w:type="spellEnd"/>
          </w:p>
        </w:tc>
        <w:tc>
          <w:tcPr>
            <w:tcW w:w="700" w:type="dxa"/>
            <w:tcMar>
              <w:top w:w="0" w:type="dxa"/>
              <w:bottom w:w="0" w:type="dxa"/>
            </w:tcMar>
            <w:vAlign w:val="center"/>
          </w:tcPr>
          <w:p w:rsidR="00E4472F" w:rsidRDefault="00000000">
            <w:pPr>
              <w:keepNext/>
              <w:keepLines/>
              <w:spacing w:after="0" w:line="240" w:lineRule="auto"/>
            </w:pPr>
            <w:r>
              <w:rPr>
                <w:sz w:val="18"/>
              </w:rPr>
              <w:t>041</w:t>
            </w:r>
          </w:p>
        </w:tc>
        <w:tc>
          <w:tcPr>
            <w:tcW w:w="1860" w:type="dxa"/>
            <w:tcMar>
              <w:top w:w="0" w:type="dxa"/>
              <w:bottom w:w="0" w:type="dxa"/>
            </w:tcMar>
            <w:vAlign w:val="center"/>
          </w:tcPr>
          <w:p w:rsidR="00E4472F" w:rsidRDefault="00000000">
            <w:pPr>
              <w:keepNext/>
              <w:keepLines/>
              <w:spacing w:after="0" w:line="240" w:lineRule="auto"/>
              <w:jc w:val="right"/>
            </w:pPr>
            <w:r>
              <w:rPr>
                <w:sz w:val="18"/>
              </w:rPr>
              <w:t>103.282,71</w:t>
            </w:r>
          </w:p>
        </w:tc>
        <w:tc>
          <w:tcPr>
            <w:tcW w:w="1860" w:type="dxa"/>
            <w:tcMar>
              <w:top w:w="0" w:type="dxa"/>
              <w:bottom w:w="0" w:type="dxa"/>
            </w:tcMar>
            <w:vAlign w:val="center"/>
          </w:tcPr>
          <w:p w:rsidR="00E4472F" w:rsidRDefault="00000000">
            <w:pPr>
              <w:keepNext/>
              <w:keepLines/>
              <w:spacing w:after="0" w:line="240" w:lineRule="auto"/>
              <w:jc w:val="right"/>
            </w:pPr>
            <w:r>
              <w:rPr>
                <w:sz w:val="18"/>
              </w:rPr>
              <w:t>101.179,66</w:t>
            </w:r>
          </w:p>
        </w:tc>
        <w:tc>
          <w:tcPr>
            <w:tcW w:w="700" w:type="dxa"/>
            <w:tcMar>
              <w:top w:w="0" w:type="dxa"/>
              <w:bottom w:w="0" w:type="dxa"/>
            </w:tcMar>
            <w:vAlign w:val="center"/>
          </w:tcPr>
          <w:p w:rsidR="00E4472F" w:rsidRDefault="00000000">
            <w:pPr>
              <w:keepNext/>
              <w:keepLines/>
              <w:spacing w:after="0" w:line="240" w:lineRule="auto"/>
              <w:jc w:val="right"/>
            </w:pPr>
            <w:r>
              <w:rPr>
                <w:sz w:val="18"/>
              </w:rPr>
              <w:t>98,0</w:t>
            </w:r>
          </w:p>
        </w:tc>
      </w:tr>
    </w:tbl>
    <w:p w:rsidR="00E4472F" w:rsidRDefault="00E4472F">
      <w:pPr>
        <w:spacing w:after="0"/>
      </w:pPr>
    </w:p>
    <w:p w:rsidR="00E4472F" w:rsidRDefault="00000000">
      <w:pPr>
        <w:jc w:val="both"/>
      </w:pPr>
      <w:r>
        <w:t xml:space="preserve">Vrijednost zaliha sitnog inventara i </w:t>
      </w:r>
      <w:proofErr w:type="spellStart"/>
      <w:r>
        <w:t>autoguma</w:t>
      </w:r>
      <w:proofErr w:type="spellEnd"/>
      <w:r>
        <w:t xml:space="preserve"> u 2025. godini iznosila je 101.179,66 eura, dok je u 2024. godini iznosila 103.282,71 eura, što predstavlja smanjenje od približno 2 %. </w:t>
      </w:r>
    </w:p>
    <w:p w:rsidR="00E4472F" w:rsidRDefault="00E4472F"/>
    <w:p w:rsidR="00E4472F" w:rsidRDefault="00000000">
      <w:pPr>
        <w:keepNext/>
        <w:spacing w:line="240" w:lineRule="auto"/>
        <w:jc w:val="center"/>
      </w:pPr>
      <w:r>
        <w:rPr>
          <w:sz w:val="28"/>
        </w:rPr>
        <w:t>Bilješka 112.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042</w:t>
            </w:r>
          </w:p>
        </w:tc>
        <w:tc>
          <w:tcPr>
            <w:tcW w:w="3180" w:type="dxa"/>
            <w:tcMar>
              <w:top w:w="0" w:type="dxa"/>
              <w:bottom w:w="0" w:type="dxa"/>
            </w:tcMar>
            <w:vAlign w:val="center"/>
          </w:tcPr>
          <w:p w:rsidR="00E4472F" w:rsidRDefault="00000000">
            <w:pPr>
              <w:keepNext/>
              <w:keepLines/>
              <w:spacing w:after="0" w:line="240" w:lineRule="auto"/>
            </w:pPr>
            <w:r>
              <w:rPr>
                <w:sz w:val="18"/>
              </w:rPr>
              <w:t xml:space="preserve">Sitni inventar i </w:t>
            </w:r>
            <w:proofErr w:type="spellStart"/>
            <w:r>
              <w:rPr>
                <w:sz w:val="18"/>
              </w:rPr>
              <w:t>autogume</w:t>
            </w:r>
            <w:proofErr w:type="spellEnd"/>
            <w:r>
              <w:rPr>
                <w:sz w:val="18"/>
              </w:rPr>
              <w:t xml:space="preserve"> u upotrebi</w:t>
            </w:r>
          </w:p>
        </w:tc>
        <w:tc>
          <w:tcPr>
            <w:tcW w:w="700" w:type="dxa"/>
            <w:tcMar>
              <w:top w:w="0" w:type="dxa"/>
              <w:bottom w:w="0" w:type="dxa"/>
            </w:tcMar>
            <w:vAlign w:val="center"/>
          </w:tcPr>
          <w:p w:rsidR="00E4472F" w:rsidRDefault="00000000">
            <w:pPr>
              <w:keepNext/>
              <w:keepLines/>
              <w:spacing w:after="0" w:line="240" w:lineRule="auto"/>
            </w:pPr>
            <w:r>
              <w:rPr>
                <w:sz w:val="18"/>
              </w:rPr>
              <w:t>042</w:t>
            </w:r>
          </w:p>
        </w:tc>
        <w:tc>
          <w:tcPr>
            <w:tcW w:w="1860" w:type="dxa"/>
            <w:tcMar>
              <w:top w:w="0" w:type="dxa"/>
              <w:bottom w:w="0" w:type="dxa"/>
            </w:tcMar>
            <w:vAlign w:val="center"/>
          </w:tcPr>
          <w:p w:rsidR="00E4472F" w:rsidRDefault="00000000">
            <w:pPr>
              <w:keepNext/>
              <w:keepLines/>
              <w:spacing w:after="0" w:line="240" w:lineRule="auto"/>
              <w:jc w:val="right"/>
            </w:pPr>
            <w:r>
              <w:rPr>
                <w:sz w:val="18"/>
              </w:rPr>
              <w:t>3.559.288,36</w:t>
            </w:r>
          </w:p>
        </w:tc>
        <w:tc>
          <w:tcPr>
            <w:tcW w:w="1860" w:type="dxa"/>
            <w:tcMar>
              <w:top w:w="0" w:type="dxa"/>
              <w:bottom w:w="0" w:type="dxa"/>
            </w:tcMar>
            <w:vAlign w:val="center"/>
          </w:tcPr>
          <w:p w:rsidR="00E4472F" w:rsidRDefault="00000000">
            <w:pPr>
              <w:keepNext/>
              <w:keepLines/>
              <w:spacing w:after="0" w:line="240" w:lineRule="auto"/>
              <w:jc w:val="right"/>
            </w:pPr>
            <w:r>
              <w:rPr>
                <w:sz w:val="18"/>
              </w:rPr>
              <w:t>3.667.425,53</w:t>
            </w:r>
          </w:p>
        </w:tc>
        <w:tc>
          <w:tcPr>
            <w:tcW w:w="700" w:type="dxa"/>
            <w:tcMar>
              <w:top w:w="0" w:type="dxa"/>
              <w:bottom w:w="0" w:type="dxa"/>
            </w:tcMar>
            <w:vAlign w:val="center"/>
          </w:tcPr>
          <w:p w:rsidR="00E4472F" w:rsidRDefault="00000000">
            <w:pPr>
              <w:keepNext/>
              <w:keepLines/>
              <w:spacing w:after="0" w:line="240" w:lineRule="auto"/>
              <w:jc w:val="right"/>
            </w:pPr>
            <w:r>
              <w:rPr>
                <w:sz w:val="18"/>
              </w:rPr>
              <w:t>103,0</w:t>
            </w:r>
          </w:p>
        </w:tc>
      </w:tr>
    </w:tbl>
    <w:p w:rsidR="00E4472F" w:rsidRDefault="00E4472F">
      <w:pPr>
        <w:spacing w:after="0"/>
      </w:pPr>
    </w:p>
    <w:p w:rsidR="00E4472F" w:rsidRDefault="00000000">
      <w:pPr>
        <w:jc w:val="both"/>
      </w:pPr>
      <w:r>
        <w:t xml:space="preserve">Vrijednost sitnog inventara i </w:t>
      </w:r>
      <w:proofErr w:type="spellStart"/>
      <w:r>
        <w:t>autoguma</w:t>
      </w:r>
      <w:proofErr w:type="spellEnd"/>
      <w:r>
        <w:t xml:space="preserve"> u uporabi u 2025. godini iznosila je 3.667.425,53 eura, što predstavlja povećanje od približno 3 % u odnosu na prethodnu godinu. Povećanje navedene stavke posljedica je prijenosa sitnog inventara iz zaliha u uporabu, kao i nabave novog sitnog inventara i </w:t>
      </w:r>
      <w:proofErr w:type="spellStart"/>
      <w:r>
        <w:t>autoguma</w:t>
      </w:r>
      <w:proofErr w:type="spellEnd"/>
      <w:r>
        <w:t xml:space="preserve"> koji su odmah stavljeni u uporabu, sukladno računovodstvenim pravilima za evidentiranje kratkotrajne imovine.</w:t>
      </w:r>
    </w:p>
    <w:p w:rsidR="00E4472F" w:rsidRDefault="00E4472F"/>
    <w:p w:rsidR="00E4472F" w:rsidRDefault="00000000">
      <w:pPr>
        <w:keepNext/>
        <w:spacing w:line="240" w:lineRule="auto"/>
        <w:jc w:val="center"/>
      </w:pPr>
      <w:r>
        <w:rPr>
          <w:sz w:val="28"/>
        </w:rPr>
        <w:t>Bilješka 113.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05</w:t>
            </w:r>
          </w:p>
        </w:tc>
        <w:tc>
          <w:tcPr>
            <w:tcW w:w="3180" w:type="dxa"/>
            <w:tcMar>
              <w:top w:w="0" w:type="dxa"/>
              <w:bottom w:w="0" w:type="dxa"/>
            </w:tcMar>
            <w:vAlign w:val="center"/>
          </w:tcPr>
          <w:p w:rsidR="00E4472F" w:rsidRDefault="00000000">
            <w:pPr>
              <w:keepNext/>
              <w:keepLines/>
              <w:spacing w:after="0" w:line="240" w:lineRule="auto"/>
            </w:pPr>
            <w:r>
              <w:rPr>
                <w:sz w:val="18"/>
              </w:rPr>
              <w:t>Dugotrajna nefinancijska imovina u pripremi (šifre 051 do 056)</w:t>
            </w:r>
          </w:p>
        </w:tc>
        <w:tc>
          <w:tcPr>
            <w:tcW w:w="700" w:type="dxa"/>
            <w:tcMar>
              <w:top w:w="0" w:type="dxa"/>
              <w:bottom w:w="0" w:type="dxa"/>
            </w:tcMar>
            <w:vAlign w:val="center"/>
          </w:tcPr>
          <w:p w:rsidR="00E4472F" w:rsidRDefault="00000000">
            <w:pPr>
              <w:keepNext/>
              <w:keepLines/>
              <w:spacing w:after="0" w:line="240" w:lineRule="auto"/>
            </w:pPr>
            <w:r>
              <w:rPr>
                <w:sz w:val="18"/>
              </w:rPr>
              <w:t>05</w:t>
            </w:r>
          </w:p>
        </w:tc>
        <w:tc>
          <w:tcPr>
            <w:tcW w:w="1860" w:type="dxa"/>
            <w:tcMar>
              <w:top w:w="0" w:type="dxa"/>
              <w:bottom w:w="0" w:type="dxa"/>
            </w:tcMar>
            <w:vAlign w:val="center"/>
          </w:tcPr>
          <w:p w:rsidR="00E4472F" w:rsidRDefault="00000000">
            <w:pPr>
              <w:keepNext/>
              <w:keepLines/>
              <w:spacing w:after="0" w:line="240" w:lineRule="auto"/>
              <w:jc w:val="right"/>
            </w:pPr>
            <w:r>
              <w:rPr>
                <w:sz w:val="18"/>
              </w:rPr>
              <w:t>1.062.292,75</w:t>
            </w:r>
          </w:p>
        </w:tc>
        <w:tc>
          <w:tcPr>
            <w:tcW w:w="1860" w:type="dxa"/>
            <w:tcMar>
              <w:top w:w="0" w:type="dxa"/>
              <w:bottom w:w="0" w:type="dxa"/>
            </w:tcMar>
            <w:vAlign w:val="center"/>
          </w:tcPr>
          <w:p w:rsidR="00E4472F" w:rsidRDefault="00000000">
            <w:pPr>
              <w:keepNext/>
              <w:keepLines/>
              <w:spacing w:after="0" w:line="240" w:lineRule="auto"/>
              <w:jc w:val="right"/>
            </w:pPr>
            <w:r>
              <w:rPr>
                <w:sz w:val="18"/>
              </w:rPr>
              <w:t>83.383,62</w:t>
            </w:r>
          </w:p>
        </w:tc>
        <w:tc>
          <w:tcPr>
            <w:tcW w:w="700" w:type="dxa"/>
            <w:tcMar>
              <w:top w:w="0" w:type="dxa"/>
              <w:bottom w:w="0" w:type="dxa"/>
            </w:tcMar>
            <w:vAlign w:val="center"/>
          </w:tcPr>
          <w:p w:rsidR="00E4472F" w:rsidRDefault="00000000">
            <w:pPr>
              <w:keepNext/>
              <w:keepLines/>
              <w:spacing w:after="0" w:line="240" w:lineRule="auto"/>
              <w:jc w:val="right"/>
            </w:pPr>
            <w:r>
              <w:rPr>
                <w:sz w:val="18"/>
              </w:rPr>
              <w:t>7,8</w:t>
            </w:r>
          </w:p>
        </w:tc>
      </w:tr>
    </w:tbl>
    <w:p w:rsidR="00E4472F" w:rsidRDefault="00E4472F">
      <w:pPr>
        <w:spacing w:after="0"/>
      </w:pPr>
    </w:p>
    <w:p w:rsidR="00E4472F" w:rsidRDefault="00000000">
      <w:pPr>
        <w:jc w:val="both"/>
      </w:pPr>
      <w:r>
        <w:t>Dugotrajna nefinancijska imovina u pripremi u 2025. godini iznosila je 83.383,62 eura, dok je u 2024. godini iznosila 1.062.292,75 eura, što predstavlja značajno smanjenje u odnosu na prethodnu godinu. Smanjenje navedene stavke rezultat je prijenosa vrijednosti projektne dokumentacije iz pripreme u vrijednost dovršenih građevinskih objekata Bolnice, i to za Dnevnu bolnicu, objekt Zavoda za patologiju i citologiju te objekt dogradnje Klinike za kirurgiju / Zavoda za ortopediju, sukladno odredbama Pravilnika o proračunskom računovodstvu i Računskom planu, prema kojima se vrijednost ulaganja u pripremi, po završetku ulaganja, prenosi s računa imovine u pripremi na odgovarajuće račune dugotrajne nefinancijske imovine. U vrijednosti građevinskih objekata u pripremi na dan 31. prosinca 2025. godine preostala je vrijednost projektne dokumentacije nadogradnje Objedinjenog hitnog bolničkog prijema za potrebe centralnog laboratorija, kao i studija izvedivosti izgradnje nove zgrade Bolnice.</w:t>
      </w:r>
    </w:p>
    <w:p w:rsidR="00E4472F" w:rsidRDefault="00E4472F"/>
    <w:p w:rsidR="00E4472F" w:rsidRDefault="00000000">
      <w:pPr>
        <w:keepNext/>
        <w:spacing w:line="240" w:lineRule="auto"/>
        <w:jc w:val="center"/>
      </w:pPr>
      <w:r>
        <w:rPr>
          <w:sz w:val="28"/>
        </w:rPr>
        <w:lastRenderedPageBreak/>
        <w:t>Bilješka 114.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06</w:t>
            </w:r>
          </w:p>
        </w:tc>
        <w:tc>
          <w:tcPr>
            <w:tcW w:w="3180" w:type="dxa"/>
            <w:tcMar>
              <w:top w:w="0" w:type="dxa"/>
              <w:bottom w:w="0" w:type="dxa"/>
            </w:tcMar>
            <w:vAlign w:val="center"/>
          </w:tcPr>
          <w:p w:rsidR="00E4472F" w:rsidRDefault="00000000">
            <w:pPr>
              <w:keepNext/>
              <w:keepLines/>
              <w:spacing w:after="0" w:line="240" w:lineRule="auto"/>
            </w:pPr>
            <w:r>
              <w:rPr>
                <w:sz w:val="18"/>
              </w:rPr>
              <w:t>Proizvedena kratkotrajna imovina (šifre 061 do 065)</w:t>
            </w:r>
          </w:p>
        </w:tc>
        <w:tc>
          <w:tcPr>
            <w:tcW w:w="700" w:type="dxa"/>
            <w:tcMar>
              <w:top w:w="0" w:type="dxa"/>
              <w:bottom w:w="0" w:type="dxa"/>
            </w:tcMar>
            <w:vAlign w:val="center"/>
          </w:tcPr>
          <w:p w:rsidR="00E4472F" w:rsidRDefault="00000000">
            <w:pPr>
              <w:keepNext/>
              <w:keepLines/>
              <w:spacing w:after="0" w:line="240" w:lineRule="auto"/>
            </w:pPr>
            <w:r>
              <w:rPr>
                <w:sz w:val="18"/>
              </w:rPr>
              <w:t>06</w:t>
            </w:r>
          </w:p>
        </w:tc>
        <w:tc>
          <w:tcPr>
            <w:tcW w:w="1860" w:type="dxa"/>
            <w:tcMar>
              <w:top w:w="0" w:type="dxa"/>
              <w:bottom w:w="0" w:type="dxa"/>
            </w:tcMar>
            <w:vAlign w:val="center"/>
          </w:tcPr>
          <w:p w:rsidR="00E4472F" w:rsidRDefault="00000000">
            <w:pPr>
              <w:keepNext/>
              <w:keepLines/>
              <w:spacing w:after="0" w:line="240" w:lineRule="auto"/>
              <w:jc w:val="right"/>
            </w:pPr>
            <w:r>
              <w:rPr>
                <w:sz w:val="18"/>
              </w:rPr>
              <w:t>2.214.792,69</w:t>
            </w:r>
          </w:p>
        </w:tc>
        <w:tc>
          <w:tcPr>
            <w:tcW w:w="1860" w:type="dxa"/>
            <w:tcMar>
              <w:top w:w="0" w:type="dxa"/>
              <w:bottom w:w="0" w:type="dxa"/>
            </w:tcMar>
            <w:vAlign w:val="center"/>
          </w:tcPr>
          <w:p w:rsidR="00E4472F" w:rsidRDefault="00000000">
            <w:pPr>
              <w:keepNext/>
              <w:keepLines/>
              <w:spacing w:after="0" w:line="240" w:lineRule="auto"/>
              <w:jc w:val="right"/>
            </w:pPr>
            <w:r>
              <w:rPr>
                <w:sz w:val="18"/>
              </w:rPr>
              <w:t>1.851.432,85</w:t>
            </w:r>
          </w:p>
        </w:tc>
        <w:tc>
          <w:tcPr>
            <w:tcW w:w="700" w:type="dxa"/>
            <w:tcMar>
              <w:top w:w="0" w:type="dxa"/>
              <w:bottom w:w="0" w:type="dxa"/>
            </w:tcMar>
            <w:vAlign w:val="center"/>
          </w:tcPr>
          <w:p w:rsidR="00E4472F" w:rsidRDefault="00000000">
            <w:pPr>
              <w:keepNext/>
              <w:keepLines/>
              <w:spacing w:after="0" w:line="240" w:lineRule="auto"/>
              <w:jc w:val="right"/>
            </w:pPr>
            <w:r>
              <w:rPr>
                <w:sz w:val="18"/>
              </w:rPr>
              <w:t>83,6</w:t>
            </w:r>
          </w:p>
        </w:tc>
      </w:tr>
    </w:tbl>
    <w:p w:rsidR="00E4472F" w:rsidRDefault="00E4472F">
      <w:pPr>
        <w:spacing w:after="0"/>
      </w:pPr>
    </w:p>
    <w:p w:rsidR="00E4472F" w:rsidRDefault="00000000">
      <w:pPr>
        <w:jc w:val="both"/>
      </w:pPr>
      <w:r>
        <w:t>Vrijednost proizvedene kratkotrajne imovine u 2025. godini iznosila je 1.851.432,85 eura, dok je u 2024. godini iznosila 2.214.792,69 eura, što predstavlja smanjenje od 16,4 % u odnosu na prethodnu godinu.</w:t>
      </w:r>
    </w:p>
    <w:p w:rsidR="00E4472F" w:rsidRDefault="00E4472F"/>
    <w:p w:rsidR="00E4472F" w:rsidRDefault="00000000">
      <w:pPr>
        <w:keepNext/>
        <w:spacing w:line="240" w:lineRule="auto"/>
        <w:jc w:val="center"/>
      </w:pPr>
      <w:r>
        <w:rPr>
          <w:sz w:val="28"/>
        </w:rPr>
        <w:t>Bilješka 115.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061</w:t>
            </w:r>
          </w:p>
        </w:tc>
        <w:tc>
          <w:tcPr>
            <w:tcW w:w="3180" w:type="dxa"/>
            <w:tcMar>
              <w:top w:w="0" w:type="dxa"/>
              <w:bottom w:w="0" w:type="dxa"/>
            </w:tcMar>
            <w:vAlign w:val="center"/>
          </w:tcPr>
          <w:p w:rsidR="00E4472F" w:rsidRDefault="00000000">
            <w:pPr>
              <w:keepNext/>
              <w:keepLines/>
              <w:spacing w:after="0" w:line="240" w:lineRule="auto"/>
            </w:pPr>
            <w:r>
              <w:rPr>
                <w:sz w:val="18"/>
              </w:rPr>
              <w:t>Zalihe za obavljanje djelatnosti</w:t>
            </w:r>
          </w:p>
        </w:tc>
        <w:tc>
          <w:tcPr>
            <w:tcW w:w="700" w:type="dxa"/>
            <w:tcMar>
              <w:top w:w="0" w:type="dxa"/>
              <w:bottom w:w="0" w:type="dxa"/>
            </w:tcMar>
            <w:vAlign w:val="center"/>
          </w:tcPr>
          <w:p w:rsidR="00E4472F" w:rsidRDefault="00000000">
            <w:pPr>
              <w:keepNext/>
              <w:keepLines/>
              <w:spacing w:after="0" w:line="240" w:lineRule="auto"/>
            </w:pPr>
            <w:r>
              <w:rPr>
                <w:sz w:val="18"/>
              </w:rPr>
              <w:t>061</w:t>
            </w:r>
          </w:p>
        </w:tc>
        <w:tc>
          <w:tcPr>
            <w:tcW w:w="1860" w:type="dxa"/>
            <w:tcMar>
              <w:top w:w="0" w:type="dxa"/>
              <w:bottom w:w="0" w:type="dxa"/>
            </w:tcMar>
            <w:vAlign w:val="center"/>
          </w:tcPr>
          <w:p w:rsidR="00E4472F" w:rsidRDefault="00000000">
            <w:pPr>
              <w:keepNext/>
              <w:keepLines/>
              <w:spacing w:after="0" w:line="240" w:lineRule="auto"/>
              <w:jc w:val="right"/>
            </w:pPr>
            <w:r>
              <w:rPr>
                <w:sz w:val="18"/>
              </w:rPr>
              <w:t>249.456,83</w:t>
            </w:r>
          </w:p>
        </w:tc>
        <w:tc>
          <w:tcPr>
            <w:tcW w:w="1860" w:type="dxa"/>
            <w:tcMar>
              <w:top w:w="0" w:type="dxa"/>
              <w:bottom w:w="0" w:type="dxa"/>
            </w:tcMar>
            <w:vAlign w:val="center"/>
          </w:tcPr>
          <w:p w:rsidR="00E4472F" w:rsidRDefault="00000000">
            <w:pPr>
              <w:keepNext/>
              <w:keepLines/>
              <w:spacing w:after="0" w:line="240" w:lineRule="auto"/>
              <w:jc w:val="right"/>
            </w:pPr>
            <w:r>
              <w:rPr>
                <w:sz w:val="18"/>
              </w:rPr>
              <w:t>263.852,61</w:t>
            </w:r>
          </w:p>
        </w:tc>
        <w:tc>
          <w:tcPr>
            <w:tcW w:w="700" w:type="dxa"/>
            <w:tcMar>
              <w:top w:w="0" w:type="dxa"/>
              <w:bottom w:w="0" w:type="dxa"/>
            </w:tcMar>
            <w:vAlign w:val="center"/>
          </w:tcPr>
          <w:p w:rsidR="00E4472F" w:rsidRDefault="00000000">
            <w:pPr>
              <w:keepNext/>
              <w:keepLines/>
              <w:spacing w:after="0" w:line="240" w:lineRule="auto"/>
              <w:jc w:val="right"/>
            </w:pPr>
            <w:r>
              <w:rPr>
                <w:sz w:val="18"/>
              </w:rPr>
              <w:t>105,8</w:t>
            </w:r>
          </w:p>
        </w:tc>
      </w:tr>
    </w:tbl>
    <w:p w:rsidR="00E4472F" w:rsidRDefault="00E4472F">
      <w:pPr>
        <w:spacing w:after="0"/>
      </w:pPr>
    </w:p>
    <w:p w:rsidR="00E4472F" w:rsidRDefault="00000000">
      <w:pPr>
        <w:jc w:val="both"/>
      </w:pPr>
      <w:r>
        <w:t>Vrijednost zaliha za obavljanje djelatnosti u 2025. godini iznosila je 263.852,61 eura, dok je u 2024. godini iznosila 249.456,83 eura, što predstavlja povećanje od 5,8 %. Povećanje navedenih zaliha rezultat je usklađivanja razine zaliha s operativnim potrebama Bolnice.</w:t>
      </w:r>
    </w:p>
    <w:p w:rsidR="00E4472F" w:rsidRDefault="00E4472F"/>
    <w:p w:rsidR="00E4472F" w:rsidRDefault="00000000">
      <w:pPr>
        <w:keepNext/>
        <w:spacing w:line="240" w:lineRule="auto"/>
        <w:jc w:val="center"/>
      </w:pPr>
      <w:r>
        <w:rPr>
          <w:sz w:val="28"/>
        </w:rPr>
        <w:t>Bilješka 116.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065</w:t>
            </w:r>
          </w:p>
        </w:tc>
        <w:tc>
          <w:tcPr>
            <w:tcW w:w="3180" w:type="dxa"/>
            <w:tcMar>
              <w:top w:w="0" w:type="dxa"/>
              <w:bottom w:w="0" w:type="dxa"/>
            </w:tcMar>
            <w:vAlign w:val="center"/>
          </w:tcPr>
          <w:p w:rsidR="00E4472F" w:rsidRDefault="00000000">
            <w:pPr>
              <w:keepNext/>
              <w:keepLines/>
              <w:spacing w:after="0" w:line="240" w:lineRule="auto"/>
            </w:pPr>
            <w:r>
              <w:rPr>
                <w:sz w:val="18"/>
              </w:rPr>
              <w:t>Zalihe lijekova i potrošnog medicinskog materijala kod zdravstvenih ustanova</w:t>
            </w:r>
          </w:p>
        </w:tc>
        <w:tc>
          <w:tcPr>
            <w:tcW w:w="700" w:type="dxa"/>
            <w:tcMar>
              <w:top w:w="0" w:type="dxa"/>
              <w:bottom w:w="0" w:type="dxa"/>
            </w:tcMar>
            <w:vAlign w:val="center"/>
          </w:tcPr>
          <w:p w:rsidR="00E4472F" w:rsidRDefault="00000000">
            <w:pPr>
              <w:keepNext/>
              <w:keepLines/>
              <w:spacing w:after="0" w:line="240" w:lineRule="auto"/>
            </w:pPr>
            <w:r>
              <w:rPr>
                <w:sz w:val="18"/>
              </w:rPr>
              <w:t>065</w:t>
            </w:r>
          </w:p>
        </w:tc>
        <w:tc>
          <w:tcPr>
            <w:tcW w:w="1860" w:type="dxa"/>
            <w:tcMar>
              <w:top w:w="0" w:type="dxa"/>
              <w:bottom w:w="0" w:type="dxa"/>
            </w:tcMar>
            <w:vAlign w:val="center"/>
          </w:tcPr>
          <w:p w:rsidR="00E4472F" w:rsidRDefault="00000000">
            <w:pPr>
              <w:keepNext/>
              <w:keepLines/>
              <w:spacing w:after="0" w:line="240" w:lineRule="auto"/>
              <w:jc w:val="right"/>
            </w:pPr>
            <w:r>
              <w:rPr>
                <w:sz w:val="18"/>
              </w:rPr>
              <w:t>1.965.335,86</w:t>
            </w:r>
          </w:p>
        </w:tc>
        <w:tc>
          <w:tcPr>
            <w:tcW w:w="1860" w:type="dxa"/>
            <w:tcMar>
              <w:top w:w="0" w:type="dxa"/>
              <w:bottom w:w="0" w:type="dxa"/>
            </w:tcMar>
            <w:vAlign w:val="center"/>
          </w:tcPr>
          <w:p w:rsidR="00E4472F" w:rsidRDefault="00000000">
            <w:pPr>
              <w:keepNext/>
              <w:keepLines/>
              <w:spacing w:after="0" w:line="240" w:lineRule="auto"/>
              <w:jc w:val="right"/>
            </w:pPr>
            <w:r>
              <w:rPr>
                <w:sz w:val="18"/>
              </w:rPr>
              <w:t>1.587.580,24</w:t>
            </w:r>
          </w:p>
        </w:tc>
        <w:tc>
          <w:tcPr>
            <w:tcW w:w="700" w:type="dxa"/>
            <w:tcMar>
              <w:top w:w="0" w:type="dxa"/>
              <w:bottom w:w="0" w:type="dxa"/>
            </w:tcMar>
            <w:vAlign w:val="center"/>
          </w:tcPr>
          <w:p w:rsidR="00E4472F" w:rsidRDefault="00000000">
            <w:pPr>
              <w:keepNext/>
              <w:keepLines/>
              <w:spacing w:after="0" w:line="240" w:lineRule="auto"/>
              <w:jc w:val="right"/>
            </w:pPr>
            <w:r>
              <w:rPr>
                <w:sz w:val="18"/>
              </w:rPr>
              <w:t>80,8</w:t>
            </w:r>
          </w:p>
        </w:tc>
      </w:tr>
    </w:tbl>
    <w:p w:rsidR="00E4472F" w:rsidRDefault="00E4472F">
      <w:pPr>
        <w:spacing w:after="0"/>
      </w:pPr>
    </w:p>
    <w:p w:rsidR="00E4472F" w:rsidRDefault="00000000">
      <w:pPr>
        <w:jc w:val="both"/>
      </w:pPr>
      <w:r>
        <w:t>Vrijednost zaliha lijekova i potrošnog medicinskog materijala u 2025. godini iznosila je 1.587.580,24 eura, dok je u 2024. godini iznosila 1.965.335,86 eura, što predstavlja smanjenje od 19,2 %. Smanjenje navedene stavke posljedica je dinamike potrošnje i nabave lijekova i potrošnog medicinskog materijala tijekom izvještajnog razdoblja, kao i prilagodbe razine zaliha stvarnim potrebama pružanja zdravstvene zaštite.</w:t>
      </w:r>
    </w:p>
    <w:p w:rsidR="00E4472F" w:rsidRDefault="00E4472F"/>
    <w:p w:rsidR="00E4472F" w:rsidRDefault="00000000">
      <w:pPr>
        <w:keepNext/>
        <w:spacing w:line="240" w:lineRule="auto"/>
        <w:jc w:val="center"/>
      </w:pPr>
      <w:r>
        <w:rPr>
          <w:sz w:val="28"/>
        </w:rPr>
        <w:t>Bilješka 117.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1</w:t>
            </w:r>
          </w:p>
        </w:tc>
        <w:tc>
          <w:tcPr>
            <w:tcW w:w="3180" w:type="dxa"/>
            <w:tcMar>
              <w:top w:w="0" w:type="dxa"/>
              <w:bottom w:w="0" w:type="dxa"/>
            </w:tcMar>
            <w:vAlign w:val="center"/>
          </w:tcPr>
          <w:p w:rsidR="00E4472F" w:rsidRDefault="00000000">
            <w:pPr>
              <w:keepNext/>
              <w:keepLines/>
              <w:spacing w:after="0" w:line="240" w:lineRule="auto"/>
            </w:pPr>
            <w:r>
              <w:rPr>
                <w:sz w:val="18"/>
              </w:rPr>
              <w:t>Financijska imovina (šifre 11+12+13+14+15+16+17+19)</w:t>
            </w:r>
          </w:p>
        </w:tc>
        <w:tc>
          <w:tcPr>
            <w:tcW w:w="700" w:type="dxa"/>
            <w:tcMar>
              <w:top w:w="0" w:type="dxa"/>
              <w:bottom w:w="0" w:type="dxa"/>
            </w:tcMar>
            <w:vAlign w:val="center"/>
          </w:tcPr>
          <w:p w:rsidR="00E4472F" w:rsidRDefault="00000000">
            <w:pPr>
              <w:keepNext/>
              <w:keepLines/>
              <w:spacing w:after="0" w:line="240" w:lineRule="auto"/>
            </w:pPr>
            <w:r>
              <w:rPr>
                <w:sz w:val="18"/>
              </w:rPr>
              <w:t>1</w:t>
            </w:r>
          </w:p>
        </w:tc>
        <w:tc>
          <w:tcPr>
            <w:tcW w:w="1860" w:type="dxa"/>
            <w:tcMar>
              <w:top w:w="0" w:type="dxa"/>
              <w:bottom w:w="0" w:type="dxa"/>
            </w:tcMar>
            <w:vAlign w:val="center"/>
          </w:tcPr>
          <w:p w:rsidR="00E4472F" w:rsidRDefault="00000000">
            <w:pPr>
              <w:keepNext/>
              <w:keepLines/>
              <w:spacing w:after="0" w:line="240" w:lineRule="auto"/>
              <w:jc w:val="right"/>
            </w:pPr>
            <w:r>
              <w:rPr>
                <w:sz w:val="18"/>
              </w:rPr>
              <w:t>3.952.302,57</w:t>
            </w:r>
          </w:p>
        </w:tc>
        <w:tc>
          <w:tcPr>
            <w:tcW w:w="1860" w:type="dxa"/>
            <w:tcMar>
              <w:top w:w="0" w:type="dxa"/>
              <w:bottom w:w="0" w:type="dxa"/>
            </w:tcMar>
            <w:vAlign w:val="center"/>
          </w:tcPr>
          <w:p w:rsidR="00E4472F" w:rsidRDefault="00000000">
            <w:pPr>
              <w:keepNext/>
              <w:keepLines/>
              <w:spacing w:after="0" w:line="240" w:lineRule="auto"/>
              <w:jc w:val="right"/>
            </w:pPr>
            <w:r>
              <w:rPr>
                <w:sz w:val="18"/>
              </w:rPr>
              <w:t>8.378.344,89</w:t>
            </w:r>
          </w:p>
        </w:tc>
        <w:tc>
          <w:tcPr>
            <w:tcW w:w="700" w:type="dxa"/>
            <w:tcMar>
              <w:top w:w="0" w:type="dxa"/>
              <w:bottom w:w="0" w:type="dxa"/>
            </w:tcMar>
            <w:vAlign w:val="center"/>
          </w:tcPr>
          <w:p w:rsidR="00E4472F" w:rsidRDefault="00000000">
            <w:pPr>
              <w:keepNext/>
              <w:keepLines/>
              <w:spacing w:after="0" w:line="240" w:lineRule="auto"/>
              <w:jc w:val="right"/>
            </w:pPr>
            <w:r>
              <w:rPr>
                <w:sz w:val="18"/>
              </w:rPr>
              <w:t>212,0</w:t>
            </w:r>
          </w:p>
        </w:tc>
      </w:tr>
    </w:tbl>
    <w:p w:rsidR="00E4472F" w:rsidRDefault="00E4472F">
      <w:pPr>
        <w:spacing w:after="0"/>
      </w:pPr>
    </w:p>
    <w:p w:rsidR="00E4472F" w:rsidRDefault="00000000">
      <w:pPr>
        <w:jc w:val="both"/>
      </w:pPr>
      <w:r>
        <w:lastRenderedPageBreak/>
        <w:t>Ukupna financijska imovina Bolnice na dan 31. prosinca 2025. godine iznosila je 8.378.344,89 eura, dok je na dan 31. prosinca 2024. godine iznosila 3.952.302,57 eura, što predstavlja povećanje od 112,0 % u odnosu na prethodnu godinu. Najveće povećanje ostvareno je u okviru potraživanja za prihode poslovanja za pružene zdravstvene usluge od HZZO-a.</w:t>
      </w:r>
    </w:p>
    <w:p w:rsidR="00E4472F" w:rsidRDefault="00000000">
      <w:r>
        <w:t> </w:t>
      </w:r>
    </w:p>
    <w:p w:rsidR="00E4472F" w:rsidRDefault="00E4472F"/>
    <w:p w:rsidR="00E4472F" w:rsidRDefault="00000000">
      <w:pPr>
        <w:keepNext/>
        <w:spacing w:line="240" w:lineRule="auto"/>
        <w:jc w:val="center"/>
      </w:pPr>
      <w:r>
        <w:rPr>
          <w:sz w:val="28"/>
        </w:rPr>
        <w:t>Bilješka 118.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1112</w:t>
            </w:r>
          </w:p>
        </w:tc>
        <w:tc>
          <w:tcPr>
            <w:tcW w:w="3180" w:type="dxa"/>
            <w:tcMar>
              <w:top w:w="0" w:type="dxa"/>
              <w:bottom w:w="0" w:type="dxa"/>
            </w:tcMar>
            <w:vAlign w:val="center"/>
          </w:tcPr>
          <w:p w:rsidR="00E4472F" w:rsidRDefault="00000000">
            <w:pPr>
              <w:keepNext/>
              <w:keepLines/>
              <w:spacing w:after="0" w:line="240" w:lineRule="auto"/>
            </w:pPr>
            <w:r>
              <w:rPr>
                <w:sz w:val="18"/>
              </w:rPr>
              <w:t>Novac na računu kod tuzemnih poslovnih banaka</w:t>
            </w:r>
          </w:p>
        </w:tc>
        <w:tc>
          <w:tcPr>
            <w:tcW w:w="700" w:type="dxa"/>
            <w:tcMar>
              <w:top w:w="0" w:type="dxa"/>
              <w:bottom w:w="0" w:type="dxa"/>
            </w:tcMar>
            <w:vAlign w:val="center"/>
          </w:tcPr>
          <w:p w:rsidR="00E4472F" w:rsidRDefault="00000000">
            <w:pPr>
              <w:keepNext/>
              <w:keepLines/>
              <w:spacing w:after="0" w:line="240" w:lineRule="auto"/>
            </w:pPr>
            <w:r>
              <w:rPr>
                <w:sz w:val="18"/>
              </w:rPr>
              <w:t>1112</w:t>
            </w:r>
          </w:p>
        </w:tc>
        <w:tc>
          <w:tcPr>
            <w:tcW w:w="1860" w:type="dxa"/>
            <w:tcMar>
              <w:top w:w="0" w:type="dxa"/>
              <w:bottom w:w="0" w:type="dxa"/>
            </w:tcMar>
            <w:vAlign w:val="center"/>
          </w:tcPr>
          <w:p w:rsidR="00E4472F" w:rsidRDefault="00000000">
            <w:pPr>
              <w:keepNext/>
              <w:keepLines/>
              <w:spacing w:after="0" w:line="240" w:lineRule="auto"/>
              <w:jc w:val="right"/>
            </w:pPr>
            <w:r>
              <w:rPr>
                <w:sz w:val="18"/>
              </w:rPr>
              <w:t>378.686,38</w:t>
            </w:r>
          </w:p>
        </w:tc>
        <w:tc>
          <w:tcPr>
            <w:tcW w:w="1860" w:type="dxa"/>
            <w:tcMar>
              <w:top w:w="0" w:type="dxa"/>
              <w:bottom w:w="0" w:type="dxa"/>
            </w:tcMar>
            <w:vAlign w:val="center"/>
          </w:tcPr>
          <w:p w:rsidR="00E4472F" w:rsidRDefault="00000000">
            <w:pPr>
              <w:keepNext/>
              <w:keepLines/>
              <w:spacing w:after="0" w:line="240" w:lineRule="auto"/>
              <w:jc w:val="right"/>
            </w:pPr>
            <w:r>
              <w:rPr>
                <w:sz w:val="18"/>
              </w:rPr>
              <w:t>407.473,80</w:t>
            </w:r>
          </w:p>
        </w:tc>
        <w:tc>
          <w:tcPr>
            <w:tcW w:w="700" w:type="dxa"/>
            <w:tcMar>
              <w:top w:w="0" w:type="dxa"/>
              <w:bottom w:w="0" w:type="dxa"/>
            </w:tcMar>
            <w:vAlign w:val="center"/>
          </w:tcPr>
          <w:p w:rsidR="00E4472F" w:rsidRDefault="00000000">
            <w:pPr>
              <w:keepNext/>
              <w:keepLines/>
              <w:spacing w:after="0" w:line="240" w:lineRule="auto"/>
              <w:jc w:val="right"/>
            </w:pPr>
            <w:r>
              <w:rPr>
                <w:sz w:val="18"/>
              </w:rPr>
              <w:t>107,6</w:t>
            </w:r>
          </w:p>
        </w:tc>
      </w:tr>
    </w:tbl>
    <w:p w:rsidR="00E4472F" w:rsidRDefault="00E4472F">
      <w:pPr>
        <w:spacing w:after="0"/>
      </w:pPr>
    </w:p>
    <w:p w:rsidR="00E4472F" w:rsidRDefault="00000000">
      <w:pPr>
        <w:jc w:val="both"/>
      </w:pPr>
      <w:r>
        <w:t xml:space="preserve">Stanje novčanih sredstava na računima kod tuzemnih poslovnih banaka na dan 31. prosinca 2025. godine iznosilo je 407.473,80 eura, dok je na dan 31. prosinca 2024. godine iznosilo 378.686,38 eura, što predstavlja povećanje od 7,6 %. Najznačajniji dio raspoloživih novčanih sredstava, u ukupnom iznosu od 153.516,93 eura, odnosi se na primljeni predujam za provedbu projekta </w:t>
      </w:r>
      <w:proofErr w:type="spellStart"/>
      <w:r>
        <w:t>Horizon</w:t>
      </w:r>
      <w:proofErr w:type="spellEnd"/>
      <w:r>
        <w:t xml:space="preserve"> Europe – </w:t>
      </w:r>
      <w:proofErr w:type="spellStart"/>
      <w:r>
        <w:t>Encanto</w:t>
      </w:r>
      <w:proofErr w:type="spellEnd"/>
      <w:r>
        <w:t>. Osim navedenog, raspoloživa sredstva uključuju i namjenska sredstva aktivnih kliničkih ispitivanja, kao i sredstva primljenih donacija, namijenjena financiranju točno određenih aktivnosti Bolnice.</w:t>
      </w:r>
    </w:p>
    <w:p w:rsidR="00E4472F" w:rsidRDefault="00000000">
      <w:r>
        <w:t> </w:t>
      </w:r>
    </w:p>
    <w:p w:rsidR="00E4472F" w:rsidRDefault="00E4472F"/>
    <w:p w:rsidR="00E4472F" w:rsidRDefault="00000000">
      <w:pPr>
        <w:keepNext/>
        <w:spacing w:line="240" w:lineRule="auto"/>
        <w:jc w:val="center"/>
      </w:pPr>
      <w:r>
        <w:rPr>
          <w:sz w:val="28"/>
        </w:rPr>
        <w:t>Bilješka 119.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113</w:t>
            </w:r>
          </w:p>
        </w:tc>
        <w:tc>
          <w:tcPr>
            <w:tcW w:w="3180" w:type="dxa"/>
            <w:tcMar>
              <w:top w:w="0" w:type="dxa"/>
              <w:bottom w:w="0" w:type="dxa"/>
            </w:tcMar>
            <w:vAlign w:val="center"/>
          </w:tcPr>
          <w:p w:rsidR="00E4472F" w:rsidRDefault="00000000">
            <w:pPr>
              <w:keepNext/>
              <w:keepLines/>
              <w:spacing w:after="0" w:line="240" w:lineRule="auto"/>
            </w:pPr>
            <w:r>
              <w:rPr>
                <w:sz w:val="18"/>
              </w:rPr>
              <w:t>Novac u blagajni</w:t>
            </w:r>
          </w:p>
        </w:tc>
        <w:tc>
          <w:tcPr>
            <w:tcW w:w="700" w:type="dxa"/>
            <w:tcMar>
              <w:top w:w="0" w:type="dxa"/>
              <w:bottom w:w="0" w:type="dxa"/>
            </w:tcMar>
            <w:vAlign w:val="center"/>
          </w:tcPr>
          <w:p w:rsidR="00E4472F" w:rsidRDefault="00000000">
            <w:pPr>
              <w:keepNext/>
              <w:keepLines/>
              <w:spacing w:after="0" w:line="240" w:lineRule="auto"/>
            </w:pPr>
            <w:r>
              <w:rPr>
                <w:sz w:val="18"/>
              </w:rPr>
              <w:t>113</w:t>
            </w:r>
          </w:p>
        </w:tc>
        <w:tc>
          <w:tcPr>
            <w:tcW w:w="1860" w:type="dxa"/>
            <w:tcMar>
              <w:top w:w="0" w:type="dxa"/>
              <w:bottom w:w="0" w:type="dxa"/>
            </w:tcMar>
            <w:vAlign w:val="center"/>
          </w:tcPr>
          <w:p w:rsidR="00E4472F" w:rsidRDefault="00000000">
            <w:pPr>
              <w:keepNext/>
              <w:keepLines/>
              <w:spacing w:after="0" w:line="240" w:lineRule="auto"/>
              <w:jc w:val="right"/>
            </w:pPr>
            <w:r>
              <w:rPr>
                <w:sz w:val="18"/>
              </w:rPr>
              <w:t>148,62</w:t>
            </w:r>
          </w:p>
        </w:tc>
        <w:tc>
          <w:tcPr>
            <w:tcW w:w="1860" w:type="dxa"/>
            <w:tcMar>
              <w:top w:w="0" w:type="dxa"/>
              <w:bottom w:w="0" w:type="dxa"/>
            </w:tcMar>
            <w:vAlign w:val="center"/>
          </w:tcPr>
          <w:p w:rsidR="00E4472F" w:rsidRDefault="00000000">
            <w:pPr>
              <w:keepNext/>
              <w:keepLines/>
              <w:spacing w:after="0" w:line="240" w:lineRule="auto"/>
              <w:jc w:val="right"/>
            </w:pPr>
            <w:r>
              <w:rPr>
                <w:sz w:val="18"/>
              </w:rPr>
              <w:t>132,92</w:t>
            </w:r>
          </w:p>
        </w:tc>
        <w:tc>
          <w:tcPr>
            <w:tcW w:w="700" w:type="dxa"/>
            <w:tcMar>
              <w:top w:w="0" w:type="dxa"/>
              <w:bottom w:w="0" w:type="dxa"/>
            </w:tcMar>
            <w:vAlign w:val="center"/>
          </w:tcPr>
          <w:p w:rsidR="00E4472F" w:rsidRDefault="00000000">
            <w:pPr>
              <w:keepNext/>
              <w:keepLines/>
              <w:spacing w:after="0" w:line="240" w:lineRule="auto"/>
              <w:jc w:val="right"/>
            </w:pPr>
            <w:r>
              <w:rPr>
                <w:sz w:val="18"/>
              </w:rPr>
              <w:t>89,4</w:t>
            </w:r>
          </w:p>
        </w:tc>
      </w:tr>
    </w:tbl>
    <w:p w:rsidR="00E4472F" w:rsidRDefault="00E4472F">
      <w:pPr>
        <w:spacing w:after="0"/>
      </w:pPr>
    </w:p>
    <w:p w:rsidR="00E4472F" w:rsidRDefault="00000000">
      <w:pPr>
        <w:jc w:val="both"/>
      </w:pPr>
      <w:r>
        <w:t>Stanje novca u blagajni na dan 31. prosinca 2024. godine iznosilo je 148,62 eura, dok je na dan 31. prosinca 2023. godine iznosilo 132,92 eura, što predstavlja povećanje od 11,6 %. Promjena se odnosi na dinamiku naplate pruženih zdravstvenih usluga u gotovini na kraju izvještajnog razdoblja.</w:t>
      </w:r>
    </w:p>
    <w:p w:rsidR="00E4472F" w:rsidRDefault="00E4472F"/>
    <w:p w:rsidR="00E4472F" w:rsidRDefault="00000000">
      <w:pPr>
        <w:keepNext/>
        <w:spacing w:line="240" w:lineRule="auto"/>
        <w:jc w:val="center"/>
      </w:pPr>
      <w:r>
        <w:rPr>
          <w:sz w:val="28"/>
        </w:rPr>
        <w:lastRenderedPageBreak/>
        <w:t>Bilješka 120.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12</w:t>
            </w:r>
          </w:p>
        </w:tc>
        <w:tc>
          <w:tcPr>
            <w:tcW w:w="3180" w:type="dxa"/>
            <w:tcMar>
              <w:top w:w="0" w:type="dxa"/>
              <w:bottom w:w="0" w:type="dxa"/>
            </w:tcMar>
            <w:vAlign w:val="center"/>
          </w:tcPr>
          <w:p w:rsidR="00E4472F" w:rsidRDefault="00000000">
            <w:pPr>
              <w:keepNext/>
              <w:keepLines/>
              <w:spacing w:after="0" w:line="240" w:lineRule="auto"/>
            </w:pPr>
            <w:r>
              <w:rPr>
                <w:sz w:val="18"/>
              </w:rPr>
              <w:t xml:space="preserve">Potraživanja za </w:t>
            </w:r>
            <w:proofErr w:type="spellStart"/>
            <w:r>
              <w:rPr>
                <w:sz w:val="18"/>
              </w:rPr>
              <w:t>jamčevne</w:t>
            </w:r>
            <w:proofErr w:type="spellEnd"/>
            <w:r>
              <w:rPr>
                <w:sz w:val="18"/>
              </w:rPr>
              <w:t xml:space="preserve"> </w:t>
            </w:r>
            <w:proofErr w:type="spellStart"/>
            <w:r>
              <w:rPr>
                <w:sz w:val="18"/>
              </w:rPr>
              <w:t>pologe</w:t>
            </w:r>
            <w:proofErr w:type="spellEnd"/>
            <w:r>
              <w:rPr>
                <w:sz w:val="18"/>
              </w:rPr>
              <w:t>, od zaposlenih te za više plaćene poreze i ostalo (šifre 122 do 124 - 125 + 129)</w:t>
            </w:r>
          </w:p>
        </w:tc>
        <w:tc>
          <w:tcPr>
            <w:tcW w:w="700" w:type="dxa"/>
            <w:tcMar>
              <w:top w:w="0" w:type="dxa"/>
              <w:bottom w:w="0" w:type="dxa"/>
            </w:tcMar>
            <w:vAlign w:val="center"/>
          </w:tcPr>
          <w:p w:rsidR="00E4472F" w:rsidRDefault="00000000">
            <w:pPr>
              <w:keepNext/>
              <w:keepLines/>
              <w:spacing w:after="0" w:line="240" w:lineRule="auto"/>
            </w:pPr>
            <w:r>
              <w:rPr>
                <w:sz w:val="18"/>
              </w:rPr>
              <w:t>12</w:t>
            </w:r>
          </w:p>
        </w:tc>
        <w:tc>
          <w:tcPr>
            <w:tcW w:w="1860" w:type="dxa"/>
            <w:tcMar>
              <w:top w:w="0" w:type="dxa"/>
              <w:bottom w:w="0" w:type="dxa"/>
            </w:tcMar>
            <w:vAlign w:val="center"/>
          </w:tcPr>
          <w:p w:rsidR="00E4472F" w:rsidRDefault="00000000">
            <w:pPr>
              <w:keepNext/>
              <w:keepLines/>
              <w:spacing w:after="0" w:line="240" w:lineRule="auto"/>
              <w:jc w:val="right"/>
            </w:pPr>
            <w:r>
              <w:rPr>
                <w:sz w:val="18"/>
              </w:rPr>
              <w:t>295.708,71</w:t>
            </w:r>
          </w:p>
        </w:tc>
        <w:tc>
          <w:tcPr>
            <w:tcW w:w="1860" w:type="dxa"/>
            <w:tcMar>
              <w:top w:w="0" w:type="dxa"/>
              <w:bottom w:w="0" w:type="dxa"/>
            </w:tcMar>
            <w:vAlign w:val="center"/>
          </w:tcPr>
          <w:p w:rsidR="00E4472F" w:rsidRDefault="00000000">
            <w:pPr>
              <w:keepNext/>
              <w:keepLines/>
              <w:spacing w:after="0" w:line="240" w:lineRule="auto"/>
              <w:jc w:val="right"/>
            </w:pPr>
            <w:r>
              <w:rPr>
                <w:sz w:val="18"/>
              </w:rPr>
              <w:t>462.922,93</w:t>
            </w:r>
          </w:p>
        </w:tc>
        <w:tc>
          <w:tcPr>
            <w:tcW w:w="700" w:type="dxa"/>
            <w:tcMar>
              <w:top w:w="0" w:type="dxa"/>
              <w:bottom w:w="0" w:type="dxa"/>
            </w:tcMar>
            <w:vAlign w:val="center"/>
          </w:tcPr>
          <w:p w:rsidR="00E4472F" w:rsidRDefault="00000000">
            <w:pPr>
              <w:keepNext/>
              <w:keepLines/>
              <w:spacing w:after="0" w:line="240" w:lineRule="auto"/>
              <w:jc w:val="right"/>
            </w:pPr>
            <w:r>
              <w:rPr>
                <w:sz w:val="18"/>
              </w:rPr>
              <w:t>156,5</w:t>
            </w:r>
          </w:p>
        </w:tc>
      </w:tr>
    </w:tbl>
    <w:p w:rsidR="00E4472F" w:rsidRDefault="00E4472F">
      <w:pPr>
        <w:spacing w:after="0"/>
      </w:pPr>
    </w:p>
    <w:p w:rsidR="00E4472F" w:rsidRDefault="00000000">
      <w:r>
        <w:t xml:space="preserve">Ukupna potraživanja iz skupine 12 Potraživanja za </w:t>
      </w:r>
      <w:proofErr w:type="spellStart"/>
      <w:r>
        <w:t>jamčevne</w:t>
      </w:r>
      <w:proofErr w:type="spellEnd"/>
      <w:r>
        <w:t xml:space="preserve"> </w:t>
      </w:r>
      <w:proofErr w:type="spellStart"/>
      <w:r>
        <w:t>pologe</w:t>
      </w:r>
      <w:proofErr w:type="spellEnd"/>
      <w:r>
        <w:t>, od zaposlenih te za više plaćene poreze i ostalo na dan 31. prosinca 2025. godine iznosila su 462.922,93 eura, dok su na dan 31. prosinca 2024. godine iznosila 295.708,71 eura, što predstavlja povećanje od 56,5 %.</w:t>
      </w:r>
    </w:p>
    <w:p w:rsidR="00E4472F" w:rsidRDefault="00E4472F"/>
    <w:p w:rsidR="00E4472F" w:rsidRDefault="00000000">
      <w:pPr>
        <w:keepNext/>
        <w:spacing w:line="240" w:lineRule="auto"/>
        <w:jc w:val="center"/>
      </w:pPr>
      <w:r>
        <w:rPr>
          <w:sz w:val="28"/>
        </w:rPr>
        <w:t>Bilješka 121.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123</w:t>
            </w:r>
          </w:p>
        </w:tc>
        <w:tc>
          <w:tcPr>
            <w:tcW w:w="3180" w:type="dxa"/>
            <w:tcMar>
              <w:top w:w="0" w:type="dxa"/>
              <w:bottom w:w="0" w:type="dxa"/>
            </w:tcMar>
            <w:vAlign w:val="center"/>
          </w:tcPr>
          <w:p w:rsidR="00E4472F" w:rsidRDefault="00000000">
            <w:pPr>
              <w:keepNext/>
              <w:keepLines/>
              <w:spacing w:after="0" w:line="240" w:lineRule="auto"/>
            </w:pPr>
            <w:r>
              <w:rPr>
                <w:sz w:val="18"/>
              </w:rPr>
              <w:t>Potraživanja od zaposlenih</w:t>
            </w:r>
          </w:p>
        </w:tc>
        <w:tc>
          <w:tcPr>
            <w:tcW w:w="700" w:type="dxa"/>
            <w:tcMar>
              <w:top w:w="0" w:type="dxa"/>
              <w:bottom w:w="0" w:type="dxa"/>
            </w:tcMar>
            <w:vAlign w:val="center"/>
          </w:tcPr>
          <w:p w:rsidR="00E4472F" w:rsidRDefault="00000000">
            <w:pPr>
              <w:keepNext/>
              <w:keepLines/>
              <w:spacing w:after="0" w:line="240" w:lineRule="auto"/>
            </w:pPr>
            <w:r>
              <w:rPr>
                <w:sz w:val="18"/>
              </w:rPr>
              <w:t>123</w:t>
            </w:r>
          </w:p>
        </w:tc>
        <w:tc>
          <w:tcPr>
            <w:tcW w:w="1860" w:type="dxa"/>
            <w:tcMar>
              <w:top w:w="0" w:type="dxa"/>
              <w:bottom w:w="0" w:type="dxa"/>
            </w:tcMar>
            <w:vAlign w:val="center"/>
          </w:tcPr>
          <w:p w:rsidR="00E4472F" w:rsidRDefault="00000000">
            <w:pPr>
              <w:keepNext/>
              <w:keepLines/>
              <w:spacing w:after="0" w:line="240" w:lineRule="auto"/>
              <w:jc w:val="right"/>
            </w:pPr>
            <w:r>
              <w:rPr>
                <w:sz w:val="18"/>
              </w:rPr>
              <w:t>2.637,79</w:t>
            </w:r>
          </w:p>
        </w:tc>
        <w:tc>
          <w:tcPr>
            <w:tcW w:w="1860" w:type="dxa"/>
            <w:tcMar>
              <w:top w:w="0" w:type="dxa"/>
              <w:bottom w:w="0" w:type="dxa"/>
            </w:tcMar>
            <w:vAlign w:val="center"/>
          </w:tcPr>
          <w:p w:rsidR="00E4472F" w:rsidRDefault="00000000">
            <w:pPr>
              <w:keepNext/>
              <w:keepLines/>
              <w:spacing w:after="0" w:line="240" w:lineRule="auto"/>
              <w:jc w:val="right"/>
            </w:pPr>
            <w:r>
              <w:rPr>
                <w:sz w:val="18"/>
              </w:rPr>
              <w:t>1.519,74</w:t>
            </w:r>
          </w:p>
        </w:tc>
        <w:tc>
          <w:tcPr>
            <w:tcW w:w="700" w:type="dxa"/>
            <w:tcMar>
              <w:top w:w="0" w:type="dxa"/>
              <w:bottom w:w="0" w:type="dxa"/>
            </w:tcMar>
            <w:vAlign w:val="center"/>
          </w:tcPr>
          <w:p w:rsidR="00E4472F" w:rsidRDefault="00000000">
            <w:pPr>
              <w:keepNext/>
              <w:keepLines/>
              <w:spacing w:after="0" w:line="240" w:lineRule="auto"/>
              <w:jc w:val="right"/>
            </w:pPr>
            <w:r>
              <w:rPr>
                <w:sz w:val="18"/>
              </w:rPr>
              <w:t>57,6</w:t>
            </w:r>
          </w:p>
        </w:tc>
      </w:tr>
    </w:tbl>
    <w:p w:rsidR="00E4472F" w:rsidRDefault="00E4472F">
      <w:pPr>
        <w:spacing w:after="0"/>
      </w:pPr>
    </w:p>
    <w:p w:rsidR="00E4472F" w:rsidRDefault="00000000">
      <w:r>
        <w:t>Potraživanja od zaposlenih u 2025. godini iznosila su 1.519,74 eura te su manja u odnosu na 2024. godinu, kada su iznosila 2.637,79 eura, a odnose se na kratkoročna potraživanja po osnovi obračuna i drugih odnosa sa zaposlenicima.</w:t>
      </w:r>
    </w:p>
    <w:p w:rsidR="00E4472F" w:rsidRDefault="00000000">
      <w:r>
        <w:t> </w:t>
      </w:r>
    </w:p>
    <w:p w:rsidR="00E4472F" w:rsidRDefault="00E4472F"/>
    <w:p w:rsidR="00E4472F" w:rsidRDefault="00000000">
      <w:pPr>
        <w:keepNext/>
        <w:spacing w:line="240" w:lineRule="auto"/>
        <w:jc w:val="center"/>
      </w:pPr>
      <w:r>
        <w:rPr>
          <w:sz w:val="28"/>
        </w:rPr>
        <w:t>Bilješka 122.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124</w:t>
            </w:r>
          </w:p>
        </w:tc>
        <w:tc>
          <w:tcPr>
            <w:tcW w:w="3180" w:type="dxa"/>
            <w:tcMar>
              <w:top w:w="0" w:type="dxa"/>
              <w:bottom w:w="0" w:type="dxa"/>
            </w:tcMar>
            <w:vAlign w:val="center"/>
          </w:tcPr>
          <w:p w:rsidR="00E4472F" w:rsidRDefault="00000000">
            <w:pPr>
              <w:keepNext/>
              <w:keepLines/>
              <w:spacing w:after="0" w:line="240" w:lineRule="auto"/>
            </w:pPr>
            <w:r>
              <w:rPr>
                <w:sz w:val="18"/>
              </w:rPr>
              <w:t>Potraživanja za više plaćene poreze i doprinose</w:t>
            </w:r>
          </w:p>
        </w:tc>
        <w:tc>
          <w:tcPr>
            <w:tcW w:w="700" w:type="dxa"/>
            <w:tcMar>
              <w:top w:w="0" w:type="dxa"/>
              <w:bottom w:w="0" w:type="dxa"/>
            </w:tcMar>
            <w:vAlign w:val="center"/>
          </w:tcPr>
          <w:p w:rsidR="00E4472F" w:rsidRDefault="00000000">
            <w:pPr>
              <w:keepNext/>
              <w:keepLines/>
              <w:spacing w:after="0" w:line="240" w:lineRule="auto"/>
            </w:pPr>
            <w:r>
              <w:rPr>
                <w:sz w:val="18"/>
              </w:rPr>
              <w:t>124</w:t>
            </w:r>
          </w:p>
        </w:tc>
        <w:tc>
          <w:tcPr>
            <w:tcW w:w="1860" w:type="dxa"/>
            <w:tcMar>
              <w:top w:w="0" w:type="dxa"/>
              <w:bottom w:w="0" w:type="dxa"/>
            </w:tcMar>
            <w:vAlign w:val="center"/>
          </w:tcPr>
          <w:p w:rsidR="00E4472F" w:rsidRDefault="00000000">
            <w:pPr>
              <w:keepNext/>
              <w:keepLines/>
              <w:spacing w:after="0" w:line="240" w:lineRule="auto"/>
              <w:jc w:val="right"/>
            </w:pPr>
            <w:r>
              <w:rPr>
                <w:sz w:val="18"/>
              </w:rPr>
              <w:t>172.793,02</w:t>
            </w:r>
          </w:p>
        </w:tc>
        <w:tc>
          <w:tcPr>
            <w:tcW w:w="1860" w:type="dxa"/>
            <w:tcMar>
              <w:top w:w="0" w:type="dxa"/>
              <w:bottom w:w="0" w:type="dxa"/>
            </w:tcMar>
            <w:vAlign w:val="center"/>
          </w:tcPr>
          <w:p w:rsidR="00E4472F" w:rsidRDefault="00000000">
            <w:pPr>
              <w:keepNext/>
              <w:keepLines/>
              <w:spacing w:after="0" w:line="240" w:lineRule="auto"/>
              <w:jc w:val="right"/>
            </w:pPr>
            <w:r>
              <w:rPr>
                <w:sz w:val="18"/>
              </w:rPr>
              <w:t>284.737,98</w:t>
            </w:r>
          </w:p>
        </w:tc>
        <w:tc>
          <w:tcPr>
            <w:tcW w:w="700" w:type="dxa"/>
            <w:tcMar>
              <w:top w:w="0" w:type="dxa"/>
              <w:bottom w:w="0" w:type="dxa"/>
            </w:tcMar>
            <w:vAlign w:val="center"/>
          </w:tcPr>
          <w:p w:rsidR="00E4472F" w:rsidRDefault="00000000">
            <w:pPr>
              <w:keepNext/>
              <w:keepLines/>
              <w:spacing w:after="0" w:line="240" w:lineRule="auto"/>
              <w:jc w:val="right"/>
            </w:pPr>
            <w:r>
              <w:rPr>
                <w:sz w:val="18"/>
              </w:rPr>
              <w:t>164,8</w:t>
            </w:r>
          </w:p>
        </w:tc>
      </w:tr>
    </w:tbl>
    <w:p w:rsidR="00E4472F" w:rsidRDefault="00E4472F">
      <w:pPr>
        <w:spacing w:after="0"/>
      </w:pPr>
    </w:p>
    <w:p w:rsidR="00E4472F" w:rsidRDefault="00000000">
      <w:pPr>
        <w:jc w:val="both"/>
      </w:pPr>
      <w:r>
        <w:t>Potraživanja za više plaćene poreze i doprinose na dan 31. prosinca 2025. godine iznosila su 284.737,98 eura, u odnosu na 172.793,02 eura u 2024. godini, predstavlja povećanje od 64,8 %. Navedena potraživanja odnose se na više uplaćene poreze i doprinose, čiji se povrat ili prijeboj očekuje u narednom razdoblju.</w:t>
      </w:r>
    </w:p>
    <w:p w:rsidR="00E4472F" w:rsidRDefault="00E4472F"/>
    <w:p w:rsidR="00E4472F" w:rsidRDefault="00000000">
      <w:pPr>
        <w:keepNext/>
        <w:spacing w:line="240" w:lineRule="auto"/>
        <w:jc w:val="center"/>
      </w:pPr>
      <w:r>
        <w:rPr>
          <w:sz w:val="28"/>
        </w:rPr>
        <w:lastRenderedPageBreak/>
        <w:t>Bilješka 123.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129</w:t>
            </w:r>
          </w:p>
        </w:tc>
        <w:tc>
          <w:tcPr>
            <w:tcW w:w="3180" w:type="dxa"/>
            <w:tcMar>
              <w:top w:w="0" w:type="dxa"/>
              <w:bottom w:w="0" w:type="dxa"/>
            </w:tcMar>
            <w:vAlign w:val="center"/>
          </w:tcPr>
          <w:p w:rsidR="00E4472F" w:rsidRDefault="00000000">
            <w:pPr>
              <w:keepNext/>
              <w:keepLines/>
              <w:spacing w:after="0" w:line="240" w:lineRule="auto"/>
            </w:pPr>
            <w:r>
              <w:rPr>
                <w:sz w:val="18"/>
              </w:rPr>
              <w:t>Ostala potraživanja</w:t>
            </w:r>
          </w:p>
        </w:tc>
        <w:tc>
          <w:tcPr>
            <w:tcW w:w="700" w:type="dxa"/>
            <w:tcMar>
              <w:top w:w="0" w:type="dxa"/>
              <w:bottom w:w="0" w:type="dxa"/>
            </w:tcMar>
            <w:vAlign w:val="center"/>
          </w:tcPr>
          <w:p w:rsidR="00E4472F" w:rsidRDefault="00000000">
            <w:pPr>
              <w:keepNext/>
              <w:keepLines/>
              <w:spacing w:after="0" w:line="240" w:lineRule="auto"/>
            </w:pPr>
            <w:r>
              <w:rPr>
                <w:sz w:val="18"/>
              </w:rPr>
              <w:t>129</w:t>
            </w:r>
          </w:p>
        </w:tc>
        <w:tc>
          <w:tcPr>
            <w:tcW w:w="1860" w:type="dxa"/>
            <w:tcMar>
              <w:top w:w="0" w:type="dxa"/>
              <w:bottom w:w="0" w:type="dxa"/>
            </w:tcMar>
            <w:vAlign w:val="center"/>
          </w:tcPr>
          <w:p w:rsidR="00E4472F" w:rsidRDefault="00000000">
            <w:pPr>
              <w:keepNext/>
              <w:keepLines/>
              <w:spacing w:after="0" w:line="240" w:lineRule="auto"/>
              <w:jc w:val="right"/>
            </w:pPr>
            <w:r>
              <w:rPr>
                <w:sz w:val="18"/>
              </w:rPr>
              <w:t>120.277,90</w:t>
            </w:r>
          </w:p>
        </w:tc>
        <w:tc>
          <w:tcPr>
            <w:tcW w:w="1860" w:type="dxa"/>
            <w:tcMar>
              <w:top w:w="0" w:type="dxa"/>
              <w:bottom w:w="0" w:type="dxa"/>
            </w:tcMar>
            <w:vAlign w:val="center"/>
          </w:tcPr>
          <w:p w:rsidR="00E4472F" w:rsidRDefault="00000000">
            <w:pPr>
              <w:keepNext/>
              <w:keepLines/>
              <w:spacing w:after="0" w:line="240" w:lineRule="auto"/>
              <w:jc w:val="right"/>
            </w:pPr>
            <w:r>
              <w:rPr>
                <w:sz w:val="18"/>
              </w:rPr>
              <w:t>176.665,21</w:t>
            </w:r>
          </w:p>
        </w:tc>
        <w:tc>
          <w:tcPr>
            <w:tcW w:w="700" w:type="dxa"/>
            <w:tcMar>
              <w:top w:w="0" w:type="dxa"/>
              <w:bottom w:w="0" w:type="dxa"/>
            </w:tcMar>
            <w:vAlign w:val="center"/>
          </w:tcPr>
          <w:p w:rsidR="00E4472F" w:rsidRDefault="00000000">
            <w:pPr>
              <w:keepNext/>
              <w:keepLines/>
              <w:spacing w:after="0" w:line="240" w:lineRule="auto"/>
              <w:jc w:val="right"/>
            </w:pPr>
            <w:r>
              <w:rPr>
                <w:sz w:val="18"/>
              </w:rPr>
              <w:t>146,9</w:t>
            </w:r>
          </w:p>
        </w:tc>
      </w:tr>
    </w:tbl>
    <w:p w:rsidR="00E4472F" w:rsidRDefault="00E4472F">
      <w:pPr>
        <w:spacing w:after="0"/>
      </w:pPr>
    </w:p>
    <w:p w:rsidR="00E4472F" w:rsidRDefault="00000000">
      <w:r>
        <w:t>129 Ostala potraživanja na dan 31. prosinca 2025. godine iznosila su 176.665,21 eura, što predstavlja povećanje od 46,9 % u odnosu na prethodnu godinu, a rast je posljedica vremenskog odmaka u naplati pojedinih potraživanja.</w:t>
      </w:r>
    </w:p>
    <w:p w:rsidR="00E4472F" w:rsidRDefault="00E4472F"/>
    <w:p w:rsidR="00E4472F" w:rsidRDefault="00000000">
      <w:pPr>
        <w:keepNext/>
        <w:spacing w:line="240" w:lineRule="auto"/>
        <w:jc w:val="center"/>
      </w:pPr>
      <w:r>
        <w:rPr>
          <w:sz w:val="28"/>
        </w:rPr>
        <w:t>Bilješka 124.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1441</w:t>
            </w:r>
          </w:p>
        </w:tc>
        <w:tc>
          <w:tcPr>
            <w:tcW w:w="3180" w:type="dxa"/>
            <w:tcMar>
              <w:top w:w="0" w:type="dxa"/>
              <w:bottom w:w="0" w:type="dxa"/>
            </w:tcMar>
            <w:vAlign w:val="center"/>
          </w:tcPr>
          <w:p w:rsidR="00E4472F" w:rsidRDefault="00000000">
            <w:pPr>
              <w:keepNext/>
              <w:keepLines/>
              <w:spacing w:after="0" w:line="240" w:lineRule="auto"/>
            </w:pPr>
            <w:r>
              <w:rPr>
                <w:sz w:val="18"/>
              </w:rPr>
              <w:t>Obveznice</w:t>
            </w:r>
          </w:p>
        </w:tc>
        <w:tc>
          <w:tcPr>
            <w:tcW w:w="700" w:type="dxa"/>
            <w:tcMar>
              <w:top w:w="0" w:type="dxa"/>
              <w:bottom w:w="0" w:type="dxa"/>
            </w:tcMar>
            <w:vAlign w:val="center"/>
          </w:tcPr>
          <w:p w:rsidR="00E4472F" w:rsidRDefault="00000000">
            <w:pPr>
              <w:keepNext/>
              <w:keepLines/>
              <w:spacing w:after="0" w:line="240" w:lineRule="auto"/>
            </w:pPr>
            <w:r>
              <w:rPr>
                <w:sz w:val="18"/>
              </w:rPr>
              <w:t>1441</w:t>
            </w:r>
          </w:p>
        </w:tc>
        <w:tc>
          <w:tcPr>
            <w:tcW w:w="1860" w:type="dxa"/>
            <w:tcMar>
              <w:top w:w="0" w:type="dxa"/>
              <w:bottom w:w="0" w:type="dxa"/>
            </w:tcMar>
            <w:vAlign w:val="center"/>
          </w:tcPr>
          <w:p w:rsidR="00E4472F" w:rsidRDefault="00000000">
            <w:pPr>
              <w:keepNext/>
              <w:keepLines/>
              <w:spacing w:after="0" w:line="240" w:lineRule="auto"/>
              <w:jc w:val="right"/>
            </w:pPr>
            <w:r>
              <w:rPr>
                <w:sz w:val="18"/>
              </w:rPr>
              <w:t>10.096,96</w:t>
            </w:r>
          </w:p>
        </w:tc>
        <w:tc>
          <w:tcPr>
            <w:tcW w:w="1860" w:type="dxa"/>
            <w:tcMar>
              <w:top w:w="0" w:type="dxa"/>
              <w:bottom w:w="0" w:type="dxa"/>
            </w:tcMar>
            <w:vAlign w:val="center"/>
          </w:tcPr>
          <w:p w:rsidR="00E4472F" w:rsidRDefault="00000000">
            <w:pPr>
              <w:keepNext/>
              <w:keepLines/>
              <w:spacing w:after="0" w:line="240" w:lineRule="auto"/>
              <w:jc w:val="right"/>
            </w:pPr>
            <w:r>
              <w:rPr>
                <w:sz w:val="18"/>
              </w:rPr>
              <w:t>10.096,96</w:t>
            </w:r>
          </w:p>
        </w:tc>
        <w:tc>
          <w:tcPr>
            <w:tcW w:w="700" w:type="dxa"/>
            <w:tcMar>
              <w:top w:w="0" w:type="dxa"/>
              <w:bottom w:w="0" w:type="dxa"/>
            </w:tcMar>
            <w:vAlign w:val="center"/>
          </w:tcPr>
          <w:p w:rsidR="00E4472F" w:rsidRDefault="00000000">
            <w:pPr>
              <w:keepNext/>
              <w:keepLines/>
              <w:spacing w:after="0" w:line="240" w:lineRule="auto"/>
              <w:jc w:val="right"/>
            </w:pPr>
            <w:r>
              <w:rPr>
                <w:sz w:val="18"/>
              </w:rPr>
              <w:t>100</w:t>
            </w:r>
          </w:p>
        </w:tc>
      </w:tr>
    </w:tbl>
    <w:p w:rsidR="00E4472F" w:rsidRDefault="00E4472F">
      <w:pPr>
        <w:spacing w:after="0"/>
      </w:pPr>
    </w:p>
    <w:p w:rsidR="00E4472F" w:rsidRDefault="00000000">
      <w:r>
        <w:t>Vrijednost financijskih instrumenata - obveznica PBZ-a i Zagrebačke banke d.d. na dan 31. prosinca 2025. godine iznosila je 10.096,96 eura, što je nepromijenjeno u odnosu na 31. prosinca 2024. godine.</w:t>
      </w:r>
    </w:p>
    <w:p w:rsidR="00E4472F" w:rsidRDefault="00E4472F"/>
    <w:p w:rsidR="00E4472F" w:rsidRDefault="00000000">
      <w:pPr>
        <w:keepNext/>
        <w:spacing w:line="240" w:lineRule="auto"/>
        <w:jc w:val="center"/>
      </w:pPr>
      <w:r>
        <w:rPr>
          <w:sz w:val="28"/>
        </w:rPr>
        <w:t>Bilješka 125.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15</w:t>
            </w:r>
          </w:p>
        </w:tc>
        <w:tc>
          <w:tcPr>
            <w:tcW w:w="3180" w:type="dxa"/>
            <w:tcMar>
              <w:top w:w="0" w:type="dxa"/>
              <w:bottom w:w="0" w:type="dxa"/>
            </w:tcMar>
            <w:vAlign w:val="center"/>
          </w:tcPr>
          <w:p w:rsidR="00E4472F" w:rsidRDefault="00000000">
            <w:pPr>
              <w:keepNext/>
              <w:keepLines/>
              <w:spacing w:after="0" w:line="240" w:lineRule="auto"/>
            </w:pPr>
            <w:r>
              <w:rPr>
                <w:sz w:val="18"/>
              </w:rPr>
              <w:t>Financijski instrumenti - dionice i udjeli u glavnici (šifre 15X1+15X2-159)</w:t>
            </w:r>
          </w:p>
        </w:tc>
        <w:tc>
          <w:tcPr>
            <w:tcW w:w="700" w:type="dxa"/>
            <w:tcMar>
              <w:top w:w="0" w:type="dxa"/>
              <w:bottom w:w="0" w:type="dxa"/>
            </w:tcMar>
            <w:vAlign w:val="center"/>
          </w:tcPr>
          <w:p w:rsidR="00E4472F" w:rsidRDefault="00000000">
            <w:pPr>
              <w:keepNext/>
              <w:keepLines/>
              <w:spacing w:after="0" w:line="240" w:lineRule="auto"/>
            </w:pPr>
            <w:r>
              <w:rPr>
                <w:sz w:val="18"/>
              </w:rPr>
              <w:t>15</w:t>
            </w:r>
          </w:p>
        </w:tc>
        <w:tc>
          <w:tcPr>
            <w:tcW w:w="1860" w:type="dxa"/>
            <w:tcMar>
              <w:top w:w="0" w:type="dxa"/>
              <w:bottom w:w="0" w:type="dxa"/>
            </w:tcMar>
            <w:vAlign w:val="center"/>
          </w:tcPr>
          <w:p w:rsidR="00E4472F" w:rsidRDefault="00000000">
            <w:pPr>
              <w:keepNext/>
              <w:keepLines/>
              <w:spacing w:after="0" w:line="240" w:lineRule="auto"/>
              <w:jc w:val="right"/>
            </w:pPr>
            <w:r>
              <w:rPr>
                <w:sz w:val="18"/>
              </w:rPr>
              <w:t>1.327,23</w:t>
            </w:r>
          </w:p>
        </w:tc>
        <w:tc>
          <w:tcPr>
            <w:tcW w:w="1860" w:type="dxa"/>
            <w:tcMar>
              <w:top w:w="0" w:type="dxa"/>
              <w:bottom w:w="0" w:type="dxa"/>
            </w:tcMar>
            <w:vAlign w:val="center"/>
          </w:tcPr>
          <w:p w:rsidR="00E4472F" w:rsidRDefault="00000000">
            <w:pPr>
              <w:keepNext/>
              <w:keepLines/>
              <w:spacing w:after="0" w:line="240" w:lineRule="auto"/>
              <w:jc w:val="right"/>
            </w:pPr>
            <w:r>
              <w:rPr>
                <w:sz w:val="18"/>
              </w:rPr>
              <w:t>1.327,23</w:t>
            </w:r>
          </w:p>
        </w:tc>
        <w:tc>
          <w:tcPr>
            <w:tcW w:w="700" w:type="dxa"/>
            <w:tcMar>
              <w:top w:w="0" w:type="dxa"/>
              <w:bottom w:w="0" w:type="dxa"/>
            </w:tcMar>
            <w:vAlign w:val="center"/>
          </w:tcPr>
          <w:p w:rsidR="00E4472F" w:rsidRDefault="00000000">
            <w:pPr>
              <w:keepNext/>
              <w:keepLines/>
              <w:spacing w:after="0" w:line="240" w:lineRule="auto"/>
              <w:jc w:val="right"/>
            </w:pPr>
            <w:r>
              <w:rPr>
                <w:sz w:val="18"/>
              </w:rPr>
              <w:t>100</w:t>
            </w:r>
          </w:p>
        </w:tc>
      </w:tr>
    </w:tbl>
    <w:p w:rsidR="00E4472F" w:rsidRDefault="00E4472F">
      <w:pPr>
        <w:spacing w:after="0"/>
      </w:pPr>
    </w:p>
    <w:p w:rsidR="00E4472F" w:rsidRDefault="00000000">
      <w:r>
        <w:t xml:space="preserve">Vrijednost financijskih instrumenata –  udjela u glavnici </w:t>
      </w:r>
      <w:proofErr w:type="spellStart"/>
      <w:r>
        <w:t>bu</w:t>
      </w:r>
      <w:proofErr w:type="spellEnd"/>
      <w:r>
        <w:t xml:space="preserve"> trgovačkom društvu Poliklinika Sveti Duh II d.o.o. na dan 31. prosinca 2025. godine iznosila je 1.327,23 EUR te je nepromijenjena u odnosu na 31. prosinca 2024. godine. Cjelokupan iznos odnosi se na osnivački udjel Bolnice u trgovačkom društvu Poliklinika Sveti Duh II d.o.o..</w:t>
      </w:r>
    </w:p>
    <w:p w:rsidR="00E4472F" w:rsidRDefault="00E4472F"/>
    <w:p w:rsidR="00E4472F" w:rsidRDefault="00000000">
      <w:pPr>
        <w:keepNext/>
        <w:spacing w:line="240" w:lineRule="auto"/>
        <w:jc w:val="center"/>
      </w:pPr>
      <w:r>
        <w:rPr>
          <w:sz w:val="28"/>
        </w:rPr>
        <w:t>Bilješka 126.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16</w:t>
            </w:r>
          </w:p>
        </w:tc>
        <w:tc>
          <w:tcPr>
            <w:tcW w:w="3180" w:type="dxa"/>
            <w:tcMar>
              <w:top w:w="0" w:type="dxa"/>
              <w:bottom w:w="0" w:type="dxa"/>
            </w:tcMar>
            <w:vAlign w:val="center"/>
          </w:tcPr>
          <w:p w:rsidR="00E4472F" w:rsidRDefault="00000000">
            <w:pPr>
              <w:keepNext/>
              <w:keepLines/>
              <w:spacing w:after="0" w:line="240" w:lineRule="auto"/>
            </w:pPr>
            <w:r>
              <w:rPr>
                <w:sz w:val="18"/>
              </w:rPr>
              <w:t>Potraživanja za prihode poslovanja (šifre 161 do 163 + 164 do 168-169)</w:t>
            </w:r>
          </w:p>
        </w:tc>
        <w:tc>
          <w:tcPr>
            <w:tcW w:w="700" w:type="dxa"/>
            <w:tcMar>
              <w:top w:w="0" w:type="dxa"/>
              <w:bottom w:w="0" w:type="dxa"/>
            </w:tcMar>
            <w:vAlign w:val="center"/>
          </w:tcPr>
          <w:p w:rsidR="00E4472F" w:rsidRDefault="00000000">
            <w:pPr>
              <w:keepNext/>
              <w:keepLines/>
              <w:spacing w:after="0" w:line="240" w:lineRule="auto"/>
            </w:pPr>
            <w:r>
              <w:rPr>
                <w:sz w:val="18"/>
              </w:rPr>
              <w:t>16</w:t>
            </w:r>
          </w:p>
        </w:tc>
        <w:tc>
          <w:tcPr>
            <w:tcW w:w="1860" w:type="dxa"/>
            <w:tcMar>
              <w:top w:w="0" w:type="dxa"/>
              <w:bottom w:w="0" w:type="dxa"/>
            </w:tcMar>
            <w:vAlign w:val="center"/>
          </w:tcPr>
          <w:p w:rsidR="00E4472F" w:rsidRDefault="00000000">
            <w:pPr>
              <w:keepNext/>
              <w:keepLines/>
              <w:spacing w:after="0" w:line="240" w:lineRule="auto"/>
              <w:jc w:val="right"/>
            </w:pPr>
            <w:r>
              <w:rPr>
                <w:sz w:val="18"/>
              </w:rPr>
              <w:t>3.264.786,33</w:t>
            </w:r>
          </w:p>
        </w:tc>
        <w:tc>
          <w:tcPr>
            <w:tcW w:w="1860" w:type="dxa"/>
            <w:tcMar>
              <w:top w:w="0" w:type="dxa"/>
              <w:bottom w:w="0" w:type="dxa"/>
            </w:tcMar>
            <w:vAlign w:val="center"/>
          </w:tcPr>
          <w:p w:rsidR="00E4472F" w:rsidRDefault="00000000">
            <w:pPr>
              <w:keepNext/>
              <w:keepLines/>
              <w:spacing w:after="0" w:line="240" w:lineRule="auto"/>
              <w:jc w:val="right"/>
            </w:pPr>
            <w:r>
              <w:rPr>
                <w:sz w:val="18"/>
              </w:rPr>
              <w:t>7.494.595,74</w:t>
            </w:r>
          </w:p>
        </w:tc>
        <w:tc>
          <w:tcPr>
            <w:tcW w:w="700" w:type="dxa"/>
            <w:tcMar>
              <w:top w:w="0" w:type="dxa"/>
              <w:bottom w:w="0" w:type="dxa"/>
            </w:tcMar>
            <w:vAlign w:val="center"/>
          </w:tcPr>
          <w:p w:rsidR="00E4472F" w:rsidRDefault="00000000">
            <w:pPr>
              <w:keepNext/>
              <w:keepLines/>
              <w:spacing w:after="0" w:line="240" w:lineRule="auto"/>
              <w:jc w:val="right"/>
            </w:pPr>
            <w:r>
              <w:rPr>
                <w:sz w:val="18"/>
              </w:rPr>
              <w:t>229,6</w:t>
            </w:r>
          </w:p>
        </w:tc>
      </w:tr>
    </w:tbl>
    <w:p w:rsidR="00E4472F" w:rsidRDefault="00E4472F">
      <w:pPr>
        <w:spacing w:after="0"/>
      </w:pPr>
    </w:p>
    <w:p w:rsidR="00E4472F" w:rsidRDefault="00000000">
      <w:pPr>
        <w:jc w:val="both"/>
      </w:pPr>
      <w:r>
        <w:t xml:space="preserve">Potraživanja za prihode poslovanja na dan 31. prosinca 2025. godine iznosila su 7.494.595,74 eura, dok su na dan 31. prosinca 2024. godine iznosila 3.264.786,33 eura, što predstavlja </w:t>
      </w:r>
      <w:r>
        <w:lastRenderedPageBreak/>
        <w:t>povećanje od 129,6 %, odnosno gotovo 2,3 puta u odnosu na prethodnu godinu. Navedeni rast predstavlja najznačajnije povećanje unutar strukture financijske imovine, a prvenstveno je posljedica povećanog obujma pruženih zdravstvenih usluga, dinamike fakturiranja prema Hrvatskom zavodu za zdravstveno osiguranje i drugim obveznicima plaćanja, kao i produljenih rokova naplate potraživanja krajem izvještajnog razdoblja. Povećanje potraživanja dodatno je povezano s rastom broja epizoda liječenja, kao i s ugovorenim i izvršenim zdravstvenim uslugama izvan osnovnog limita, čija se naplata realizira s vremenskim odmakom u odnosu na trenutak pružanja usluge. </w:t>
      </w:r>
    </w:p>
    <w:p w:rsidR="00E4472F" w:rsidRDefault="00000000">
      <w:r>
        <w:t> </w:t>
      </w:r>
    </w:p>
    <w:p w:rsidR="00E4472F" w:rsidRDefault="00E4472F"/>
    <w:p w:rsidR="00E4472F" w:rsidRDefault="00000000">
      <w:pPr>
        <w:keepNext/>
        <w:spacing w:line="240" w:lineRule="auto"/>
        <w:jc w:val="center"/>
      </w:pPr>
      <w:r>
        <w:rPr>
          <w:sz w:val="28"/>
        </w:rPr>
        <w:t>Bilješka 127.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165</w:t>
            </w:r>
          </w:p>
        </w:tc>
        <w:tc>
          <w:tcPr>
            <w:tcW w:w="3180" w:type="dxa"/>
            <w:tcMar>
              <w:top w:w="0" w:type="dxa"/>
              <w:bottom w:w="0" w:type="dxa"/>
            </w:tcMar>
            <w:vAlign w:val="center"/>
          </w:tcPr>
          <w:p w:rsidR="00E4472F" w:rsidRDefault="00000000">
            <w:pPr>
              <w:keepNext/>
              <w:keepLines/>
              <w:spacing w:after="0" w:line="240" w:lineRule="auto"/>
            </w:pPr>
            <w:r>
              <w:rPr>
                <w:sz w:val="18"/>
              </w:rPr>
              <w:t>Potraživanja za upravne i administrativne pristojbe, pristojbe po posebnim propisima i naknade</w:t>
            </w:r>
          </w:p>
        </w:tc>
        <w:tc>
          <w:tcPr>
            <w:tcW w:w="700" w:type="dxa"/>
            <w:tcMar>
              <w:top w:w="0" w:type="dxa"/>
              <w:bottom w:w="0" w:type="dxa"/>
            </w:tcMar>
            <w:vAlign w:val="center"/>
          </w:tcPr>
          <w:p w:rsidR="00E4472F" w:rsidRDefault="00000000">
            <w:pPr>
              <w:keepNext/>
              <w:keepLines/>
              <w:spacing w:after="0" w:line="240" w:lineRule="auto"/>
            </w:pPr>
            <w:r>
              <w:rPr>
                <w:sz w:val="18"/>
              </w:rPr>
              <w:t>165</w:t>
            </w:r>
          </w:p>
        </w:tc>
        <w:tc>
          <w:tcPr>
            <w:tcW w:w="1860" w:type="dxa"/>
            <w:tcMar>
              <w:top w:w="0" w:type="dxa"/>
              <w:bottom w:w="0" w:type="dxa"/>
            </w:tcMar>
            <w:vAlign w:val="center"/>
          </w:tcPr>
          <w:p w:rsidR="00E4472F" w:rsidRDefault="00000000">
            <w:pPr>
              <w:keepNext/>
              <w:keepLines/>
              <w:spacing w:after="0" w:line="240" w:lineRule="auto"/>
              <w:jc w:val="right"/>
            </w:pPr>
            <w:r>
              <w:rPr>
                <w:sz w:val="18"/>
              </w:rPr>
              <w:t>1.671.209,31</w:t>
            </w:r>
          </w:p>
        </w:tc>
        <w:tc>
          <w:tcPr>
            <w:tcW w:w="1860" w:type="dxa"/>
            <w:tcMar>
              <w:top w:w="0" w:type="dxa"/>
              <w:bottom w:w="0" w:type="dxa"/>
            </w:tcMar>
            <w:vAlign w:val="center"/>
          </w:tcPr>
          <w:p w:rsidR="00E4472F" w:rsidRDefault="00000000">
            <w:pPr>
              <w:keepNext/>
              <w:keepLines/>
              <w:spacing w:after="0" w:line="240" w:lineRule="auto"/>
              <w:jc w:val="right"/>
            </w:pPr>
            <w:r>
              <w:rPr>
                <w:sz w:val="18"/>
              </w:rPr>
              <w:t>3.636.884,66</w:t>
            </w:r>
          </w:p>
        </w:tc>
        <w:tc>
          <w:tcPr>
            <w:tcW w:w="700" w:type="dxa"/>
            <w:tcMar>
              <w:top w:w="0" w:type="dxa"/>
              <w:bottom w:w="0" w:type="dxa"/>
            </w:tcMar>
            <w:vAlign w:val="center"/>
          </w:tcPr>
          <w:p w:rsidR="00E4472F" w:rsidRDefault="00000000">
            <w:pPr>
              <w:keepNext/>
              <w:keepLines/>
              <w:spacing w:after="0" w:line="240" w:lineRule="auto"/>
              <w:jc w:val="right"/>
            </w:pPr>
            <w:r>
              <w:rPr>
                <w:sz w:val="18"/>
              </w:rPr>
              <w:t>217,6</w:t>
            </w:r>
          </w:p>
        </w:tc>
      </w:tr>
    </w:tbl>
    <w:p w:rsidR="00E4472F" w:rsidRDefault="00E4472F">
      <w:pPr>
        <w:spacing w:after="0"/>
      </w:pPr>
    </w:p>
    <w:p w:rsidR="00E4472F" w:rsidRDefault="00000000">
      <w:pPr>
        <w:jc w:val="both"/>
      </w:pPr>
      <w:r>
        <w:t>Na dan 31. prosinca 2025. godine potraživanja za upravne i administrativne pristojbe, pristojbe po posebnim propisima i naknade iznosila su 3.636.884,66 eura, dok su u 2024. godini iznosila 1.671.209,31 eura, što predstavlja povećanje od 117,6 %. Rast je prvenstveno posljedica povećanog iznosa nenaplaćenih participacija i ostalih naknada vezanih uz pružene zdravstvene usluge, čija se naplata realizira s vremenskim odmakom.</w:t>
      </w:r>
    </w:p>
    <w:p w:rsidR="00E4472F" w:rsidRDefault="00E4472F"/>
    <w:p w:rsidR="00E4472F" w:rsidRDefault="00000000">
      <w:pPr>
        <w:keepNext/>
        <w:spacing w:line="240" w:lineRule="auto"/>
        <w:jc w:val="center"/>
      </w:pPr>
      <w:r>
        <w:rPr>
          <w:sz w:val="28"/>
        </w:rPr>
        <w:t>Bilješka 128.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166</w:t>
            </w:r>
          </w:p>
        </w:tc>
        <w:tc>
          <w:tcPr>
            <w:tcW w:w="3180" w:type="dxa"/>
            <w:tcMar>
              <w:top w:w="0" w:type="dxa"/>
              <w:bottom w:w="0" w:type="dxa"/>
            </w:tcMar>
            <w:vAlign w:val="center"/>
          </w:tcPr>
          <w:p w:rsidR="00E4472F" w:rsidRDefault="00000000">
            <w:pPr>
              <w:keepNext/>
              <w:keepLines/>
              <w:spacing w:after="0" w:line="240" w:lineRule="auto"/>
            </w:pPr>
            <w:r>
              <w:rPr>
                <w:sz w:val="18"/>
              </w:rPr>
              <w:t>Potraživanja za prihode od prodaje proizvoda i robe te pruženih usluga i za povrat po protestiranim jamstvima</w:t>
            </w:r>
          </w:p>
        </w:tc>
        <w:tc>
          <w:tcPr>
            <w:tcW w:w="700" w:type="dxa"/>
            <w:tcMar>
              <w:top w:w="0" w:type="dxa"/>
              <w:bottom w:w="0" w:type="dxa"/>
            </w:tcMar>
            <w:vAlign w:val="center"/>
          </w:tcPr>
          <w:p w:rsidR="00E4472F" w:rsidRDefault="00000000">
            <w:pPr>
              <w:keepNext/>
              <w:keepLines/>
              <w:spacing w:after="0" w:line="240" w:lineRule="auto"/>
            </w:pPr>
            <w:r>
              <w:rPr>
                <w:sz w:val="18"/>
              </w:rPr>
              <w:t>166</w:t>
            </w:r>
          </w:p>
        </w:tc>
        <w:tc>
          <w:tcPr>
            <w:tcW w:w="1860" w:type="dxa"/>
            <w:tcMar>
              <w:top w:w="0" w:type="dxa"/>
              <w:bottom w:w="0" w:type="dxa"/>
            </w:tcMar>
            <w:vAlign w:val="center"/>
          </w:tcPr>
          <w:p w:rsidR="00E4472F" w:rsidRDefault="00000000">
            <w:pPr>
              <w:keepNext/>
              <w:keepLines/>
              <w:spacing w:after="0" w:line="240" w:lineRule="auto"/>
              <w:jc w:val="right"/>
            </w:pPr>
            <w:r>
              <w:rPr>
                <w:sz w:val="18"/>
              </w:rPr>
              <w:t>679.188,39</w:t>
            </w:r>
          </w:p>
        </w:tc>
        <w:tc>
          <w:tcPr>
            <w:tcW w:w="1860" w:type="dxa"/>
            <w:tcMar>
              <w:top w:w="0" w:type="dxa"/>
              <w:bottom w:w="0" w:type="dxa"/>
            </w:tcMar>
            <w:vAlign w:val="center"/>
          </w:tcPr>
          <w:p w:rsidR="00E4472F" w:rsidRDefault="00000000">
            <w:pPr>
              <w:keepNext/>
              <w:keepLines/>
              <w:spacing w:after="0" w:line="240" w:lineRule="auto"/>
              <w:jc w:val="right"/>
            </w:pPr>
            <w:r>
              <w:rPr>
                <w:sz w:val="18"/>
              </w:rPr>
              <w:t>924.310,51</w:t>
            </w:r>
          </w:p>
        </w:tc>
        <w:tc>
          <w:tcPr>
            <w:tcW w:w="700" w:type="dxa"/>
            <w:tcMar>
              <w:top w:w="0" w:type="dxa"/>
              <w:bottom w:w="0" w:type="dxa"/>
            </w:tcMar>
            <w:vAlign w:val="center"/>
          </w:tcPr>
          <w:p w:rsidR="00E4472F" w:rsidRDefault="00000000">
            <w:pPr>
              <w:keepNext/>
              <w:keepLines/>
              <w:spacing w:after="0" w:line="240" w:lineRule="auto"/>
              <w:jc w:val="right"/>
            </w:pPr>
            <w:r>
              <w:rPr>
                <w:sz w:val="18"/>
              </w:rPr>
              <w:t>136,1</w:t>
            </w:r>
          </w:p>
        </w:tc>
      </w:tr>
    </w:tbl>
    <w:p w:rsidR="00E4472F" w:rsidRDefault="00E4472F">
      <w:pPr>
        <w:spacing w:after="0"/>
      </w:pPr>
    </w:p>
    <w:p w:rsidR="00E4472F" w:rsidRDefault="00000000">
      <w:pPr>
        <w:jc w:val="both"/>
      </w:pPr>
      <w:r>
        <w:t xml:space="preserve">Potraživanja za prihode od prodaje proizvoda i robe te pruženih usluga i za povrat po protestiranim </w:t>
      </w:r>
      <w:proofErr w:type="spellStart"/>
      <w:r>
        <w:t>jamstvim</w:t>
      </w:r>
      <w:proofErr w:type="spellEnd"/>
      <w:r>
        <w:t> na dan 31. prosinca 2025. godine iznosila su 924.310,51 eura, što predstavlja povećanje od 36,1 % u odnosu na 2024. godinu, a rast je rezultat dinamike fakturiranja i naplate pruženih usluga krajem izvještajnog razdoblja.</w:t>
      </w:r>
    </w:p>
    <w:p w:rsidR="00E4472F" w:rsidRDefault="00E4472F"/>
    <w:p w:rsidR="00E4472F" w:rsidRDefault="00000000">
      <w:pPr>
        <w:keepNext/>
        <w:spacing w:line="240" w:lineRule="auto"/>
        <w:jc w:val="center"/>
      </w:pPr>
      <w:r>
        <w:rPr>
          <w:sz w:val="28"/>
        </w:rPr>
        <w:lastRenderedPageBreak/>
        <w:t>Bilješka 129.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167</w:t>
            </w:r>
          </w:p>
        </w:tc>
        <w:tc>
          <w:tcPr>
            <w:tcW w:w="3180" w:type="dxa"/>
            <w:tcMar>
              <w:top w:w="0" w:type="dxa"/>
              <w:bottom w:w="0" w:type="dxa"/>
            </w:tcMar>
            <w:vAlign w:val="center"/>
          </w:tcPr>
          <w:p w:rsidR="00E4472F" w:rsidRDefault="00000000">
            <w:pPr>
              <w:keepNext/>
              <w:keepLines/>
              <w:spacing w:after="0" w:line="240" w:lineRule="auto"/>
            </w:pPr>
            <w:r>
              <w:rPr>
                <w:sz w:val="18"/>
              </w:rPr>
              <w:t>Potraživanja proračunskih korisnika za sredstva uplaćena u nadležni proračun i za prihode od HZZO-a na temelju ugovornih obveza</w:t>
            </w:r>
          </w:p>
        </w:tc>
        <w:tc>
          <w:tcPr>
            <w:tcW w:w="700" w:type="dxa"/>
            <w:tcMar>
              <w:top w:w="0" w:type="dxa"/>
              <w:bottom w:w="0" w:type="dxa"/>
            </w:tcMar>
            <w:vAlign w:val="center"/>
          </w:tcPr>
          <w:p w:rsidR="00E4472F" w:rsidRDefault="00000000">
            <w:pPr>
              <w:keepNext/>
              <w:keepLines/>
              <w:spacing w:after="0" w:line="240" w:lineRule="auto"/>
            </w:pPr>
            <w:r>
              <w:rPr>
                <w:sz w:val="18"/>
              </w:rPr>
              <w:t>167</w:t>
            </w:r>
          </w:p>
        </w:tc>
        <w:tc>
          <w:tcPr>
            <w:tcW w:w="1860" w:type="dxa"/>
            <w:tcMar>
              <w:top w:w="0" w:type="dxa"/>
              <w:bottom w:w="0" w:type="dxa"/>
            </w:tcMar>
            <w:vAlign w:val="center"/>
          </w:tcPr>
          <w:p w:rsidR="00E4472F" w:rsidRDefault="00000000">
            <w:pPr>
              <w:keepNext/>
              <w:keepLines/>
              <w:spacing w:after="0" w:line="240" w:lineRule="auto"/>
              <w:jc w:val="right"/>
            </w:pPr>
            <w:r>
              <w:rPr>
                <w:sz w:val="18"/>
              </w:rPr>
              <w:t>1.304.762,65</w:t>
            </w:r>
          </w:p>
        </w:tc>
        <w:tc>
          <w:tcPr>
            <w:tcW w:w="1860" w:type="dxa"/>
            <w:tcMar>
              <w:top w:w="0" w:type="dxa"/>
              <w:bottom w:w="0" w:type="dxa"/>
            </w:tcMar>
            <w:vAlign w:val="center"/>
          </w:tcPr>
          <w:p w:rsidR="00E4472F" w:rsidRDefault="00000000">
            <w:pPr>
              <w:keepNext/>
              <w:keepLines/>
              <w:spacing w:after="0" w:line="240" w:lineRule="auto"/>
              <w:jc w:val="right"/>
            </w:pPr>
            <w:r>
              <w:rPr>
                <w:sz w:val="18"/>
              </w:rPr>
              <w:t>3.409.220,07</w:t>
            </w:r>
          </w:p>
        </w:tc>
        <w:tc>
          <w:tcPr>
            <w:tcW w:w="700" w:type="dxa"/>
            <w:tcMar>
              <w:top w:w="0" w:type="dxa"/>
              <w:bottom w:w="0" w:type="dxa"/>
            </w:tcMar>
            <w:vAlign w:val="center"/>
          </w:tcPr>
          <w:p w:rsidR="00E4472F" w:rsidRDefault="00000000">
            <w:pPr>
              <w:keepNext/>
              <w:keepLines/>
              <w:spacing w:after="0" w:line="240" w:lineRule="auto"/>
              <w:jc w:val="right"/>
            </w:pPr>
            <w:r>
              <w:rPr>
                <w:sz w:val="18"/>
              </w:rPr>
              <w:t>261,3</w:t>
            </w:r>
          </w:p>
        </w:tc>
      </w:tr>
    </w:tbl>
    <w:p w:rsidR="00E4472F" w:rsidRDefault="00E4472F">
      <w:pPr>
        <w:spacing w:after="0"/>
      </w:pPr>
    </w:p>
    <w:p w:rsidR="00E4472F" w:rsidRDefault="00000000">
      <w:pPr>
        <w:jc w:val="both"/>
      </w:pPr>
      <w:r>
        <w:t>Potraživanja proračunskih korisnika za sredstva uplaćena u nadležni proračun i za prihode od HZZO-a na temelju ugovornih obveza bilježe najizraženiji rast, gdje su potraživanja na dan 31. prosinca 2025. godine iznosila 3.409.220,07 eura, u odnosu na 1.304.762,65 eura u 2024. godini, što predstavlja povećanje od 161,3 %. Navedeni rast posljedica je povećanog obujma pruženih zdravstvenih usluga osiguranim osobama HZZO-a, kao i vremenskog odmaka između pružanja usluge i njezine naplate, osobito za usluge izvršene u završnom dijelu izvještajne godine.</w:t>
      </w:r>
    </w:p>
    <w:p w:rsidR="00E4472F" w:rsidRDefault="00E4472F"/>
    <w:p w:rsidR="00E4472F" w:rsidRDefault="00000000">
      <w:pPr>
        <w:keepNext/>
        <w:spacing w:line="240" w:lineRule="auto"/>
        <w:jc w:val="center"/>
      </w:pPr>
      <w:r>
        <w:rPr>
          <w:sz w:val="28"/>
        </w:rPr>
        <w:t>Bilješka 130.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169</w:t>
            </w:r>
          </w:p>
        </w:tc>
        <w:tc>
          <w:tcPr>
            <w:tcW w:w="3180" w:type="dxa"/>
            <w:tcMar>
              <w:top w:w="0" w:type="dxa"/>
              <w:bottom w:w="0" w:type="dxa"/>
            </w:tcMar>
            <w:vAlign w:val="center"/>
          </w:tcPr>
          <w:p w:rsidR="00E4472F" w:rsidRDefault="00000000">
            <w:pPr>
              <w:keepNext/>
              <w:keepLines/>
              <w:spacing w:after="0" w:line="240" w:lineRule="auto"/>
            </w:pPr>
            <w:r>
              <w:rPr>
                <w:sz w:val="18"/>
              </w:rPr>
              <w:t>Ispravak vrijednosti potraživanja</w:t>
            </w:r>
          </w:p>
        </w:tc>
        <w:tc>
          <w:tcPr>
            <w:tcW w:w="700" w:type="dxa"/>
            <w:tcMar>
              <w:top w:w="0" w:type="dxa"/>
              <w:bottom w:w="0" w:type="dxa"/>
            </w:tcMar>
            <w:vAlign w:val="center"/>
          </w:tcPr>
          <w:p w:rsidR="00E4472F" w:rsidRDefault="00000000">
            <w:pPr>
              <w:keepNext/>
              <w:keepLines/>
              <w:spacing w:after="0" w:line="240" w:lineRule="auto"/>
            </w:pPr>
            <w:r>
              <w:rPr>
                <w:sz w:val="18"/>
              </w:rPr>
              <w:t>169</w:t>
            </w:r>
          </w:p>
        </w:tc>
        <w:tc>
          <w:tcPr>
            <w:tcW w:w="1860" w:type="dxa"/>
            <w:tcMar>
              <w:top w:w="0" w:type="dxa"/>
              <w:bottom w:w="0" w:type="dxa"/>
            </w:tcMar>
            <w:vAlign w:val="center"/>
          </w:tcPr>
          <w:p w:rsidR="00E4472F" w:rsidRDefault="00000000">
            <w:pPr>
              <w:keepNext/>
              <w:keepLines/>
              <w:spacing w:after="0" w:line="240" w:lineRule="auto"/>
              <w:jc w:val="right"/>
            </w:pPr>
            <w:r>
              <w:rPr>
                <w:sz w:val="18"/>
              </w:rPr>
              <w:t>390.374,02</w:t>
            </w:r>
          </w:p>
        </w:tc>
        <w:tc>
          <w:tcPr>
            <w:tcW w:w="1860" w:type="dxa"/>
            <w:tcMar>
              <w:top w:w="0" w:type="dxa"/>
              <w:bottom w:w="0" w:type="dxa"/>
            </w:tcMar>
            <w:vAlign w:val="center"/>
          </w:tcPr>
          <w:p w:rsidR="00E4472F" w:rsidRDefault="00000000">
            <w:pPr>
              <w:keepNext/>
              <w:keepLines/>
              <w:spacing w:after="0" w:line="240" w:lineRule="auto"/>
              <w:jc w:val="right"/>
            </w:pPr>
            <w:r>
              <w:rPr>
                <w:sz w:val="18"/>
              </w:rPr>
              <w:t>475.819,50</w:t>
            </w:r>
          </w:p>
        </w:tc>
        <w:tc>
          <w:tcPr>
            <w:tcW w:w="700" w:type="dxa"/>
            <w:tcMar>
              <w:top w:w="0" w:type="dxa"/>
              <w:bottom w:w="0" w:type="dxa"/>
            </w:tcMar>
            <w:vAlign w:val="center"/>
          </w:tcPr>
          <w:p w:rsidR="00E4472F" w:rsidRDefault="00000000">
            <w:pPr>
              <w:keepNext/>
              <w:keepLines/>
              <w:spacing w:after="0" w:line="240" w:lineRule="auto"/>
              <w:jc w:val="right"/>
            </w:pPr>
            <w:r>
              <w:rPr>
                <w:sz w:val="18"/>
              </w:rPr>
              <w:t>121,9</w:t>
            </w:r>
          </w:p>
        </w:tc>
      </w:tr>
    </w:tbl>
    <w:p w:rsidR="00E4472F" w:rsidRDefault="00E4472F">
      <w:pPr>
        <w:spacing w:after="0"/>
      </w:pPr>
    </w:p>
    <w:p w:rsidR="00E4472F" w:rsidRDefault="00000000">
      <w:pPr>
        <w:jc w:val="both"/>
      </w:pPr>
      <w:r>
        <w:t xml:space="preserve">Ispravak vrijednosti potraživanja na dan 31. prosinca 2025. godine iznosi 475.819,50 eura, što predstavlja povećanje u odnosu na 2024. godinu, a odnosi se na usklađivanje vrijednosti potraživanja sukladno procjeni naplativosti, u skladu s </w:t>
      </w:r>
      <w:proofErr w:type="spellStart"/>
      <w:r>
        <w:t>izmjenjenim</w:t>
      </w:r>
      <w:proofErr w:type="spellEnd"/>
      <w:r>
        <w:t xml:space="preserve"> odredbama Pravilnika o proračunskom računovodstvu i Računskom planu.</w:t>
      </w:r>
    </w:p>
    <w:p w:rsidR="00E4472F" w:rsidRDefault="00E4472F"/>
    <w:p w:rsidR="00E4472F" w:rsidRDefault="00000000">
      <w:pPr>
        <w:keepNext/>
        <w:spacing w:line="240" w:lineRule="auto"/>
        <w:jc w:val="center"/>
      </w:pPr>
      <w:r>
        <w:rPr>
          <w:sz w:val="28"/>
        </w:rPr>
        <w:t>Bilješka 131.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19</w:t>
            </w:r>
          </w:p>
        </w:tc>
        <w:tc>
          <w:tcPr>
            <w:tcW w:w="3180" w:type="dxa"/>
            <w:tcMar>
              <w:top w:w="0" w:type="dxa"/>
              <w:bottom w:w="0" w:type="dxa"/>
            </w:tcMar>
            <w:vAlign w:val="center"/>
          </w:tcPr>
          <w:p w:rsidR="00E4472F" w:rsidRDefault="00000000">
            <w:pPr>
              <w:keepNext/>
              <w:keepLines/>
              <w:spacing w:after="0" w:line="240" w:lineRule="auto"/>
            </w:pPr>
            <w:r>
              <w:rPr>
                <w:sz w:val="18"/>
              </w:rPr>
              <w:t>Rashodi budućih razdoblja i nedospjela naplata prihoda (aktivna vremenska razgraničenja) (šifre 191 do 193)</w:t>
            </w:r>
          </w:p>
        </w:tc>
        <w:tc>
          <w:tcPr>
            <w:tcW w:w="700" w:type="dxa"/>
            <w:tcMar>
              <w:top w:w="0" w:type="dxa"/>
              <w:bottom w:w="0" w:type="dxa"/>
            </w:tcMar>
            <w:vAlign w:val="center"/>
          </w:tcPr>
          <w:p w:rsidR="00E4472F" w:rsidRDefault="00000000">
            <w:pPr>
              <w:keepNext/>
              <w:keepLines/>
              <w:spacing w:after="0" w:line="240" w:lineRule="auto"/>
            </w:pPr>
            <w:r>
              <w:rPr>
                <w:sz w:val="18"/>
              </w:rPr>
              <w:t>19</w:t>
            </w:r>
          </w:p>
        </w:tc>
        <w:tc>
          <w:tcPr>
            <w:tcW w:w="1860" w:type="dxa"/>
            <w:tcMar>
              <w:top w:w="0" w:type="dxa"/>
              <w:bottom w:w="0" w:type="dxa"/>
            </w:tcMar>
            <w:vAlign w:val="center"/>
          </w:tcPr>
          <w:p w:rsidR="00E4472F" w:rsidRDefault="00000000">
            <w:pPr>
              <w:keepNext/>
              <w:keepLines/>
              <w:spacing w:after="0" w:line="240" w:lineRule="auto"/>
              <w:jc w:val="right"/>
            </w:pPr>
            <w:r>
              <w:rPr>
                <w:sz w:val="18"/>
              </w:rPr>
              <w:t>1.548,34</w:t>
            </w:r>
          </w:p>
        </w:tc>
        <w:tc>
          <w:tcPr>
            <w:tcW w:w="1860" w:type="dxa"/>
            <w:tcMar>
              <w:top w:w="0" w:type="dxa"/>
              <w:bottom w:w="0" w:type="dxa"/>
            </w:tcMar>
            <w:vAlign w:val="center"/>
          </w:tcPr>
          <w:p w:rsidR="00E4472F" w:rsidRDefault="00000000">
            <w:pPr>
              <w:keepNext/>
              <w:keepLines/>
              <w:spacing w:after="0" w:line="240" w:lineRule="auto"/>
              <w:jc w:val="right"/>
            </w:pPr>
            <w:r>
              <w:rPr>
                <w:sz w:val="18"/>
              </w:rPr>
              <w:t>1.795,31</w:t>
            </w:r>
          </w:p>
        </w:tc>
        <w:tc>
          <w:tcPr>
            <w:tcW w:w="700" w:type="dxa"/>
            <w:tcMar>
              <w:top w:w="0" w:type="dxa"/>
              <w:bottom w:w="0" w:type="dxa"/>
            </w:tcMar>
            <w:vAlign w:val="center"/>
          </w:tcPr>
          <w:p w:rsidR="00E4472F" w:rsidRDefault="00000000">
            <w:pPr>
              <w:keepNext/>
              <w:keepLines/>
              <w:spacing w:after="0" w:line="240" w:lineRule="auto"/>
              <w:jc w:val="right"/>
            </w:pPr>
            <w:r>
              <w:rPr>
                <w:sz w:val="18"/>
              </w:rPr>
              <w:t>116,0</w:t>
            </w:r>
          </w:p>
        </w:tc>
      </w:tr>
    </w:tbl>
    <w:p w:rsidR="00E4472F" w:rsidRDefault="00E4472F">
      <w:pPr>
        <w:spacing w:after="0"/>
      </w:pPr>
    </w:p>
    <w:p w:rsidR="00E4472F" w:rsidRDefault="00000000">
      <w:pPr>
        <w:jc w:val="both"/>
      </w:pPr>
      <w:r>
        <w:t>Vrijednost aktivnih vremenskih razgraničenja na dan 31. prosinca 2025. godine iznosila je 1.795,31 eura, dok je na dan 31. prosinca 2024. godine iznosila 1.548,34 eura, što predstavlja povećanje od 16,0 %. Navedeni iznos odnosi se isključivo na odjeljak 191  Rashodi budućih razdoblja, a promjena je posljedica redovitog vremenskog razgraničenja troškova koji se odnose na naredna obračunska razdoblja, sukladno načelu nastanka događaja u proračunskom računovodstvu.</w:t>
      </w:r>
    </w:p>
    <w:p w:rsidR="00E4472F" w:rsidRDefault="00E4472F"/>
    <w:p w:rsidR="00E4472F" w:rsidRDefault="00000000">
      <w:pPr>
        <w:keepNext/>
        <w:spacing w:line="240" w:lineRule="auto"/>
        <w:jc w:val="center"/>
      </w:pPr>
      <w:r>
        <w:rPr>
          <w:sz w:val="28"/>
        </w:rPr>
        <w:lastRenderedPageBreak/>
        <w:t>Bilješka 132.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2</w:t>
            </w:r>
          </w:p>
        </w:tc>
        <w:tc>
          <w:tcPr>
            <w:tcW w:w="3180" w:type="dxa"/>
            <w:tcMar>
              <w:top w:w="0" w:type="dxa"/>
              <w:bottom w:w="0" w:type="dxa"/>
            </w:tcMar>
            <w:vAlign w:val="center"/>
          </w:tcPr>
          <w:p w:rsidR="00E4472F" w:rsidRDefault="00000000">
            <w:pPr>
              <w:keepNext/>
              <w:keepLines/>
              <w:spacing w:after="0" w:line="240" w:lineRule="auto"/>
            </w:pPr>
            <w:r>
              <w:rPr>
                <w:sz w:val="18"/>
              </w:rPr>
              <w:t>Obveze (šifre 23+24+25+26+27+29)</w:t>
            </w:r>
          </w:p>
        </w:tc>
        <w:tc>
          <w:tcPr>
            <w:tcW w:w="700" w:type="dxa"/>
            <w:tcMar>
              <w:top w:w="0" w:type="dxa"/>
              <w:bottom w:w="0" w:type="dxa"/>
            </w:tcMar>
            <w:vAlign w:val="center"/>
          </w:tcPr>
          <w:p w:rsidR="00E4472F" w:rsidRDefault="00000000">
            <w:pPr>
              <w:keepNext/>
              <w:keepLines/>
              <w:spacing w:after="0" w:line="240" w:lineRule="auto"/>
            </w:pPr>
            <w:r>
              <w:rPr>
                <w:sz w:val="18"/>
              </w:rPr>
              <w:t>2</w:t>
            </w:r>
          </w:p>
        </w:tc>
        <w:tc>
          <w:tcPr>
            <w:tcW w:w="1860" w:type="dxa"/>
            <w:tcMar>
              <w:top w:w="0" w:type="dxa"/>
              <w:bottom w:w="0" w:type="dxa"/>
            </w:tcMar>
            <w:vAlign w:val="center"/>
          </w:tcPr>
          <w:p w:rsidR="00E4472F" w:rsidRDefault="00000000">
            <w:pPr>
              <w:keepNext/>
              <w:keepLines/>
              <w:spacing w:after="0" w:line="240" w:lineRule="auto"/>
              <w:jc w:val="right"/>
            </w:pPr>
            <w:r>
              <w:rPr>
                <w:sz w:val="18"/>
              </w:rPr>
              <w:t>53.432.069,26</w:t>
            </w:r>
          </w:p>
        </w:tc>
        <w:tc>
          <w:tcPr>
            <w:tcW w:w="1860" w:type="dxa"/>
            <w:tcMar>
              <w:top w:w="0" w:type="dxa"/>
              <w:bottom w:w="0" w:type="dxa"/>
            </w:tcMar>
            <w:vAlign w:val="center"/>
          </w:tcPr>
          <w:p w:rsidR="00E4472F" w:rsidRDefault="00000000">
            <w:pPr>
              <w:keepNext/>
              <w:keepLines/>
              <w:spacing w:after="0" w:line="240" w:lineRule="auto"/>
              <w:jc w:val="right"/>
            </w:pPr>
            <w:r>
              <w:rPr>
                <w:sz w:val="18"/>
              </w:rPr>
              <w:t>58.775.729,20</w:t>
            </w:r>
          </w:p>
        </w:tc>
        <w:tc>
          <w:tcPr>
            <w:tcW w:w="700" w:type="dxa"/>
            <w:tcMar>
              <w:top w:w="0" w:type="dxa"/>
              <w:bottom w:w="0" w:type="dxa"/>
            </w:tcMar>
            <w:vAlign w:val="center"/>
          </w:tcPr>
          <w:p w:rsidR="00E4472F" w:rsidRDefault="00000000">
            <w:pPr>
              <w:keepNext/>
              <w:keepLines/>
              <w:spacing w:after="0" w:line="240" w:lineRule="auto"/>
              <w:jc w:val="right"/>
            </w:pPr>
            <w:r>
              <w:rPr>
                <w:sz w:val="18"/>
              </w:rPr>
              <w:t>110,0</w:t>
            </w:r>
          </w:p>
        </w:tc>
      </w:tr>
    </w:tbl>
    <w:p w:rsidR="00E4472F" w:rsidRDefault="00E4472F">
      <w:pPr>
        <w:spacing w:after="0"/>
      </w:pPr>
    </w:p>
    <w:p w:rsidR="00E4472F" w:rsidRDefault="00000000">
      <w:r>
        <w:t>Na dan 31. prosinca 2025. knjigovodstveno su iskazane ukupne obveze Bolnice u iznosu od 58.774.654,21 eura što je u odnosu na iznos iskazan na dan 31. prosinca 2024., kada su obveze iznosile 53.414.596,07 eura, više za 5.360.058,14 eura. Najznačajniji porast se odnosi na novo stvorene obveze prema dobavljačima koje su veće za 4.863.030,91 eura, odnosno za 39%.</w:t>
      </w:r>
    </w:p>
    <w:p w:rsidR="00E4472F" w:rsidRDefault="00E4472F"/>
    <w:p w:rsidR="00E4472F" w:rsidRDefault="00000000">
      <w:pPr>
        <w:keepNext/>
        <w:spacing w:line="240" w:lineRule="auto"/>
        <w:jc w:val="center"/>
      </w:pPr>
      <w:r>
        <w:rPr>
          <w:sz w:val="28"/>
        </w:rPr>
        <w:t>Bilješka 133.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23</w:t>
            </w:r>
          </w:p>
        </w:tc>
        <w:tc>
          <w:tcPr>
            <w:tcW w:w="3180" w:type="dxa"/>
            <w:tcMar>
              <w:top w:w="0" w:type="dxa"/>
              <w:bottom w:w="0" w:type="dxa"/>
            </w:tcMar>
            <w:vAlign w:val="center"/>
          </w:tcPr>
          <w:p w:rsidR="00E4472F" w:rsidRDefault="00000000">
            <w:pPr>
              <w:keepNext/>
              <w:keepLines/>
              <w:spacing w:after="0" w:line="240" w:lineRule="auto"/>
            </w:pPr>
            <w:r>
              <w:rPr>
                <w:sz w:val="18"/>
              </w:rPr>
              <w:t>Obveze za rashode poslovanja (šifre 231 do 234 + 235 + 236 + 237 do 239)</w:t>
            </w:r>
          </w:p>
        </w:tc>
        <w:tc>
          <w:tcPr>
            <w:tcW w:w="700" w:type="dxa"/>
            <w:tcMar>
              <w:top w:w="0" w:type="dxa"/>
              <w:bottom w:w="0" w:type="dxa"/>
            </w:tcMar>
            <w:vAlign w:val="center"/>
          </w:tcPr>
          <w:p w:rsidR="00E4472F" w:rsidRDefault="00000000">
            <w:pPr>
              <w:keepNext/>
              <w:keepLines/>
              <w:spacing w:after="0" w:line="240" w:lineRule="auto"/>
            </w:pPr>
            <w:r>
              <w:rPr>
                <w:sz w:val="18"/>
              </w:rPr>
              <w:t>23</w:t>
            </w:r>
          </w:p>
        </w:tc>
        <w:tc>
          <w:tcPr>
            <w:tcW w:w="1860" w:type="dxa"/>
            <w:tcMar>
              <w:top w:w="0" w:type="dxa"/>
              <w:bottom w:w="0" w:type="dxa"/>
            </w:tcMar>
            <w:vAlign w:val="center"/>
          </w:tcPr>
          <w:p w:rsidR="00E4472F" w:rsidRDefault="00000000">
            <w:pPr>
              <w:keepNext/>
              <w:keepLines/>
              <w:spacing w:after="0" w:line="240" w:lineRule="auto"/>
              <w:jc w:val="right"/>
            </w:pPr>
            <w:r>
              <w:rPr>
                <w:sz w:val="18"/>
              </w:rPr>
              <w:t>17.920.767,25</w:t>
            </w:r>
          </w:p>
        </w:tc>
        <w:tc>
          <w:tcPr>
            <w:tcW w:w="1860" w:type="dxa"/>
            <w:tcMar>
              <w:top w:w="0" w:type="dxa"/>
              <w:bottom w:w="0" w:type="dxa"/>
            </w:tcMar>
            <w:vAlign w:val="center"/>
          </w:tcPr>
          <w:p w:rsidR="00E4472F" w:rsidRDefault="00000000">
            <w:pPr>
              <w:keepNext/>
              <w:keepLines/>
              <w:spacing w:after="0" w:line="240" w:lineRule="auto"/>
              <w:jc w:val="right"/>
            </w:pPr>
            <w:r>
              <w:rPr>
                <w:sz w:val="18"/>
              </w:rPr>
              <w:t>23.720.407,05</w:t>
            </w:r>
          </w:p>
        </w:tc>
        <w:tc>
          <w:tcPr>
            <w:tcW w:w="700" w:type="dxa"/>
            <w:tcMar>
              <w:top w:w="0" w:type="dxa"/>
              <w:bottom w:w="0" w:type="dxa"/>
            </w:tcMar>
            <w:vAlign w:val="center"/>
          </w:tcPr>
          <w:p w:rsidR="00E4472F" w:rsidRDefault="00000000">
            <w:pPr>
              <w:keepNext/>
              <w:keepLines/>
              <w:spacing w:after="0" w:line="240" w:lineRule="auto"/>
              <w:jc w:val="right"/>
            </w:pPr>
            <w:r>
              <w:rPr>
                <w:sz w:val="18"/>
              </w:rPr>
              <w:t>132,4</w:t>
            </w:r>
          </w:p>
        </w:tc>
      </w:tr>
    </w:tbl>
    <w:p w:rsidR="00E4472F" w:rsidRDefault="00E4472F">
      <w:pPr>
        <w:spacing w:after="0"/>
      </w:pPr>
    </w:p>
    <w:p w:rsidR="00E4472F" w:rsidRDefault="00000000">
      <w:r>
        <w:t>Obveze za rashode poslovanja (razred 23) na dan 31. prosinca 2025. godine iznose 23.720.407,05 EUR, što predstavlja povećanje od 32,4 % u odnosu na 2024. godinu, kada su iznosile 17.920.767,25 EUR. Rast navedenih obveza ponajprije je posljedica povećanja obveza za materijalne rashode te obveza za zaposlene.</w:t>
      </w:r>
    </w:p>
    <w:p w:rsidR="00E4472F" w:rsidRDefault="00E4472F"/>
    <w:p w:rsidR="00E4472F" w:rsidRDefault="00000000">
      <w:pPr>
        <w:keepNext/>
        <w:spacing w:line="240" w:lineRule="auto"/>
        <w:jc w:val="center"/>
      </w:pPr>
      <w:r>
        <w:rPr>
          <w:sz w:val="28"/>
        </w:rPr>
        <w:t>Bilješka 134.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231</w:t>
            </w:r>
          </w:p>
        </w:tc>
        <w:tc>
          <w:tcPr>
            <w:tcW w:w="3180" w:type="dxa"/>
            <w:tcMar>
              <w:top w:w="0" w:type="dxa"/>
              <w:bottom w:w="0" w:type="dxa"/>
            </w:tcMar>
            <w:vAlign w:val="center"/>
          </w:tcPr>
          <w:p w:rsidR="00E4472F" w:rsidRDefault="00000000">
            <w:pPr>
              <w:keepNext/>
              <w:keepLines/>
              <w:spacing w:after="0" w:line="240" w:lineRule="auto"/>
            </w:pPr>
            <w:r>
              <w:rPr>
                <w:sz w:val="18"/>
              </w:rPr>
              <w:t>Obveze za zaposlene</w:t>
            </w:r>
          </w:p>
        </w:tc>
        <w:tc>
          <w:tcPr>
            <w:tcW w:w="700" w:type="dxa"/>
            <w:tcMar>
              <w:top w:w="0" w:type="dxa"/>
              <w:bottom w:w="0" w:type="dxa"/>
            </w:tcMar>
            <w:vAlign w:val="center"/>
          </w:tcPr>
          <w:p w:rsidR="00E4472F" w:rsidRDefault="00000000">
            <w:pPr>
              <w:keepNext/>
              <w:keepLines/>
              <w:spacing w:after="0" w:line="240" w:lineRule="auto"/>
            </w:pPr>
            <w:r>
              <w:rPr>
                <w:sz w:val="18"/>
              </w:rPr>
              <w:t>231</w:t>
            </w:r>
          </w:p>
        </w:tc>
        <w:tc>
          <w:tcPr>
            <w:tcW w:w="1860" w:type="dxa"/>
            <w:tcMar>
              <w:top w:w="0" w:type="dxa"/>
              <w:bottom w:w="0" w:type="dxa"/>
            </w:tcMar>
            <w:vAlign w:val="center"/>
          </w:tcPr>
          <w:p w:rsidR="00E4472F" w:rsidRDefault="00000000">
            <w:pPr>
              <w:keepNext/>
              <w:keepLines/>
              <w:spacing w:after="0" w:line="240" w:lineRule="auto"/>
              <w:jc w:val="right"/>
            </w:pPr>
            <w:r>
              <w:rPr>
                <w:sz w:val="18"/>
              </w:rPr>
              <w:t>5.577.746,88</w:t>
            </w:r>
          </w:p>
        </w:tc>
        <w:tc>
          <w:tcPr>
            <w:tcW w:w="1860" w:type="dxa"/>
            <w:tcMar>
              <w:top w:w="0" w:type="dxa"/>
              <w:bottom w:w="0" w:type="dxa"/>
            </w:tcMar>
            <w:vAlign w:val="center"/>
          </w:tcPr>
          <w:p w:rsidR="00E4472F" w:rsidRDefault="00000000">
            <w:pPr>
              <w:keepNext/>
              <w:keepLines/>
              <w:spacing w:after="0" w:line="240" w:lineRule="auto"/>
              <w:jc w:val="right"/>
            </w:pPr>
            <w:r>
              <w:rPr>
                <w:sz w:val="18"/>
              </w:rPr>
              <w:t>6.010.852,76</w:t>
            </w:r>
          </w:p>
        </w:tc>
        <w:tc>
          <w:tcPr>
            <w:tcW w:w="700" w:type="dxa"/>
            <w:tcMar>
              <w:top w:w="0" w:type="dxa"/>
              <w:bottom w:w="0" w:type="dxa"/>
            </w:tcMar>
            <w:vAlign w:val="center"/>
          </w:tcPr>
          <w:p w:rsidR="00E4472F" w:rsidRDefault="00000000">
            <w:pPr>
              <w:keepNext/>
              <w:keepLines/>
              <w:spacing w:after="0" w:line="240" w:lineRule="auto"/>
              <w:jc w:val="right"/>
            </w:pPr>
            <w:r>
              <w:rPr>
                <w:sz w:val="18"/>
              </w:rPr>
              <w:t>107,8</w:t>
            </w:r>
          </w:p>
        </w:tc>
      </w:tr>
    </w:tbl>
    <w:p w:rsidR="00E4472F" w:rsidRDefault="00E4472F">
      <w:pPr>
        <w:spacing w:after="0"/>
      </w:pPr>
    </w:p>
    <w:p w:rsidR="00E4472F" w:rsidRDefault="00000000">
      <w:r>
        <w:t>Obveze za zaposlene (konto 231) iznose 6.010.852,76 EUR, što predstavlja povećanje od 7,8 % u odnosu na prethodnu godinu, a navedeni rast povezan je s povećanjem plaća i ostalih materijalnih prava zaposlenika u izvještajnom razdoblju.</w:t>
      </w:r>
    </w:p>
    <w:p w:rsidR="00E4472F" w:rsidRDefault="00E4472F"/>
    <w:p w:rsidR="00E4472F" w:rsidRDefault="00000000">
      <w:pPr>
        <w:keepNext/>
        <w:spacing w:line="240" w:lineRule="auto"/>
        <w:jc w:val="center"/>
      </w:pPr>
      <w:r>
        <w:rPr>
          <w:sz w:val="28"/>
        </w:rPr>
        <w:t>Bilješka 135.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232</w:t>
            </w:r>
          </w:p>
        </w:tc>
        <w:tc>
          <w:tcPr>
            <w:tcW w:w="3180" w:type="dxa"/>
            <w:tcMar>
              <w:top w:w="0" w:type="dxa"/>
              <w:bottom w:w="0" w:type="dxa"/>
            </w:tcMar>
            <w:vAlign w:val="center"/>
          </w:tcPr>
          <w:p w:rsidR="00E4472F" w:rsidRDefault="00000000">
            <w:pPr>
              <w:keepNext/>
              <w:keepLines/>
              <w:spacing w:after="0" w:line="240" w:lineRule="auto"/>
            </w:pPr>
            <w:r>
              <w:rPr>
                <w:sz w:val="18"/>
              </w:rPr>
              <w:t>Obveze za materijalne rashode</w:t>
            </w:r>
          </w:p>
        </w:tc>
        <w:tc>
          <w:tcPr>
            <w:tcW w:w="700" w:type="dxa"/>
            <w:tcMar>
              <w:top w:w="0" w:type="dxa"/>
              <w:bottom w:w="0" w:type="dxa"/>
            </w:tcMar>
            <w:vAlign w:val="center"/>
          </w:tcPr>
          <w:p w:rsidR="00E4472F" w:rsidRDefault="00000000">
            <w:pPr>
              <w:keepNext/>
              <w:keepLines/>
              <w:spacing w:after="0" w:line="240" w:lineRule="auto"/>
            </w:pPr>
            <w:r>
              <w:rPr>
                <w:sz w:val="18"/>
              </w:rPr>
              <w:t>232</w:t>
            </w:r>
          </w:p>
        </w:tc>
        <w:tc>
          <w:tcPr>
            <w:tcW w:w="1860" w:type="dxa"/>
            <w:tcMar>
              <w:top w:w="0" w:type="dxa"/>
              <w:bottom w:w="0" w:type="dxa"/>
            </w:tcMar>
            <w:vAlign w:val="center"/>
          </w:tcPr>
          <w:p w:rsidR="00E4472F" w:rsidRDefault="00000000">
            <w:pPr>
              <w:keepNext/>
              <w:keepLines/>
              <w:spacing w:after="0" w:line="240" w:lineRule="auto"/>
              <w:jc w:val="right"/>
            </w:pPr>
            <w:r>
              <w:rPr>
                <w:sz w:val="18"/>
              </w:rPr>
              <w:t>12.330.205,26</w:t>
            </w:r>
          </w:p>
        </w:tc>
        <w:tc>
          <w:tcPr>
            <w:tcW w:w="1860" w:type="dxa"/>
            <w:tcMar>
              <w:top w:w="0" w:type="dxa"/>
              <w:bottom w:w="0" w:type="dxa"/>
            </w:tcMar>
            <w:vAlign w:val="center"/>
          </w:tcPr>
          <w:p w:rsidR="00E4472F" w:rsidRDefault="00000000">
            <w:pPr>
              <w:keepNext/>
              <w:keepLines/>
              <w:spacing w:after="0" w:line="240" w:lineRule="auto"/>
              <w:jc w:val="right"/>
            </w:pPr>
            <w:r>
              <w:rPr>
                <w:sz w:val="18"/>
              </w:rPr>
              <w:t>17.238.984,15</w:t>
            </w:r>
          </w:p>
        </w:tc>
        <w:tc>
          <w:tcPr>
            <w:tcW w:w="700" w:type="dxa"/>
            <w:tcMar>
              <w:top w:w="0" w:type="dxa"/>
              <w:bottom w:w="0" w:type="dxa"/>
            </w:tcMar>
            <w:vAlign w:val="center"/>
          </w:tcPr>
          <w:p w:rsidR="00E4472F" w:rsidRDefault="00000000">
            <w:pPr>
              <w:keepNext/>
              <w:keepLines/>
              <w:spacing w:after="0" w:line="240" w:lineRule="auto"/>
              <w:jc w:val="right"/>
            </w:pPr>
            <w:r>
              <w:rPr>
                <w:sz w:val="18"/>
              </w:rPr>
              <w:t>139,8</w:t>
            </w:r>
          </w:p>
        </w:tc>
      </w:tr>
    </w:tbl>
    <w:p w:rsidR="00E4472F" w:rsidRDefault="00E4472F">
      <w:pPr>
        <w:spacing w:after="0"/>
      </w:pPr>
    </w:p>
    <w:p w:rsidR="00E4472F" w:rsidRDefault="00000000">
      <w:r>
        <w:lastRenderedPageBreak/>
        <w:t>Obveze za materijalne rashode (konto 232) iznose 17.238.984,15 EUR, što predstavlja povećanje od 39,8 % u odnosu na 2024. godinu. Povećanje obveza za materijalne rashode odnosi se ponajprije na obveze prema dobavljačima lijekova i potrošnog medicinskog materijala, u skladu s povećanim obujmom i složenošću pruženih zdravstvenih usluga.</w:t>
      </w:r>
    </w:p>
    <w:p w:rsidR="00E4472F" w:rsidRDefault="00E4472F"/>
    <w:p w:rsidR="00E4472F" w:rsidRDefault="00000000">
      <w:pPr>
        <w:keepNext/>
        <w:spacing w:line="240" w:lineRule="auto"/>
        <w:jc w:val="center"/>
      </w:pPr>
      <w:r>
        <w:rPr>
          <w:sz w:val="28"/>
        </w:rPr>
        <w:t>Bilješka 136.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234</w:t>
            </w:r>
          </w:p>
        </w:tc>
        <w:tc>
          <w:tcPr>
            <w:tcW w:w="3180" w:type="dxa"/>
            <w:tcMar>
              <w:top w:w="0" w:type="dxa"/>
              <w:bottom w:w="0" w:type="dxa"/>
            </w:tcMar>
            <w:vAlign w:val="center"/>
          </w:tcPr>
          <w:p w:rsidR="00E4472F" w:rsidRDefault="00000000">
            <w:pPr>
              <w:keepNext/>
              <w:keepLines/>
              <w:spacing w:after="0" w:line="240" w:lineRule="auto"/>
            </w:pPr>
            <w:r>
              <w:rPr>
                <w:sz w:val="18"/>
              </w:rPr>
              <w:t>Obveze za financijske rashode (šifre 2341 do 2343)</w:t>
            </w:r>
          </w:p>
        </w:tc>
        <w:tc>
          <w:tcPr>
            <w:tcW w:w="700" w:type="dxa"/>
            <w:tcMar>
              <w:top w:w="0" w:type="dxa"/>
              <w:bottom w:w="0" w:type="dxa"/>
            </w:tcMar>
            <w:vAlign w:val="center"/>
          </w:tcPr>
          <w:p w:rsidR="00E4472F" w:rsidRDefault="00000000">
            <w:pPr>
              <w:keepNext/>
              <w:keepLines/>
              <w:spacing w:after="0" w:line="240" w:lineRule="auto"/>
            </w:pPr>
            <w:r>
              <w:rPr>
                <w:sz w:val="18"/>
              </w:rPr>
              <w:t>234</w:t>
            </w:r>
          </w:p>
        </w:tc>
        <w:tc>
          <w:tcPr>
            <w:tcW w:w="1860" w:type="dxa"/>
            <w:tcMar>
              <w:top w:w="0" w:type="dxa"/>
              <w:bottom w:w="0" w:type="dxa"/>
            </w:tcMar>
            <w:vAlign w:val="center"/>
          </w:tcPr>
          <w:p w:rsidR="00E4472F" w:rsidRDefault="00000000">
            <w:pPr>
              <w:keepNext/>
              <w:keepLines/>
              <w:spacing w:after="0" w:line="240" w:lineRule="auto"/>
              <w:jc w:val="right"/>
            </w:pPr>
            <w:r>
              <w:rPr>
                <w:sz w:val="18"/>
              </w:rPr>
              <w:t>899,61</w:t>
            </w:r>
          </w:p>
        </w:tc>
        <w:tc>
          <w:tcPr>
            <w:tcW w:w="1860" w:type="dxa"/>
            <w:tcMar>
              <w:top w:w="0" w:type="dxa"/>
              <w:bottom w:w="0" w:type="dxa"/>
            </w:tcMar>
            <w:vAlign w:val="center"/>
          </w:tcPr>
          <w:p w:rsidR="00E4472F" w:rsidRDefault="00000000">
            <w:pPr>
              <w:keepNext/>
              <w:keepLines/>
              <w:spacing w:after="0" w:line="240" w:lineRule="auto"/>
              <w:jc w:val="right"/>
            </w:pPr>
            <w:r>
              <w:rPr>
                <w:sz w:val="18"/>
              </w:rPr>
              <w:t>449.228,04</w:t>
            </w:r>
          </w:p>
        </w:tc>
        <w:tc>
          <w:tcPr>
            <w:tcW w:w="700" w:type="dxa"/>
            <w:tcMar>
              <w:top w:w="0" w:type="dxa"/>
              <w:bottom w:w="0" w:type="dxa"/>
            </w:tcMar>
            <w:vAlign w:val="center"/>
          </w:tcPr>
          <w:p w:rsidR="00E4472F" w:rsidRDefault="00000000">
            <w:pPr>
              <w:keepNext/>
              <w:keepLines/>
              <w:spacing w:after="0" w:line="240" w:lineRule="auto"/>
              <w:jc w:val="right"/>
            </w:pPr>
            <w:r>
              <w:rPr>
                <w:sz w:val="18"/>
              </w:rPr>
              <w:t>&gt;&gt;100</w:t>
            </w:r>
          </w:p>
        </w:tc>
      </w:tr>
    </w:tbl>
    <w:p w:rsidR="00E4472F" w:rsidRDefault="00E4472F">
      <w:pPr>
        <w:spacing w:after="0"/>
      </w:pPr>
    </w:p>
    <w:p w:rsidR="00E4472F" w:rsidRDefault="00000000">
      <w:r>
        <w:t>Obveze za financijske rashode (konto 234) u 2025. godini iznose 449.228,04 EUR, dok su u 2024. godini iznosile 899,61 EUR. Značajan rast navedenih obveza rezultat je dospijeća financijskih obveza vezanih u zakonske zatezne kamate iz prethodnih razdoblja.</w:t>
      </w:r>
    </w:p>
    <w:p w:rsidR="00E4472F" w:rsidRDefault="00E4472F"/>
    <w:p w:rsidR="00E4472F" w:rsidRDefault="00000000">
      <w:pPr>
        <w:keepNext/>
        <w:spacing w:line="240" w:lineRule="auto"/>
        <w:jc w:val="center"/>
      </w:pPr>
      <w:r>
        <w:rPr>
          <w:sz w:val="28"/>
        </w:rPr>
        <w:t>Bilješka 137.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239</w:t>
            </w:r>
          </w:p>
        </w:tc>
        <w:tc>
          <w:tcPr>
            <w:tcW w:w="3180" w:type="dxa"/>
            <w:tcMar>
              <w:top w:w="0" w:type="dxa"/>
              <w:bottom w:w="0" w:type="dxa"/>
            </w:tcMar>
            <w:vAlign w:val="center"/>
          </w:tcPr>
          <w:p w:rsidR="00E4472F" w:rsidRDefault="00000000">
            <w:pPr>
              <w:keepNext/>
              <w:keepLines/>
              <w:spacing w:after="0" w:line="240" w:lineRule="auto"/>
            </w:pPr>
            <w:r>
              <w:rPr>
                <w:sz w:val="18"/>
              </w:rPr>
              <w:t>Ostale tekuće obveze</w:t>
            </w:r>
          </w:p>
        </w:tc>
        <w:tc>
          <w:tcPr>
            <w:tcW w:w="700" w:type="dxa"/>
            <w:tcMar>
              <w:top w:w="0" w:type="dxa"/>
              <w:bottom w:w="0" w:type="dxa"/>
            </w:tcMar>
            <w:vAlign w:val="center"/>
          </w:tcPr>
          <w:p w:rsidR="00E4472F" w:rsidRDefault="00000000">
            <w:pPr>
              <w:keepNext/>
              <w:keepLines/>
              <w:spacing w:after="0" w:line="240" w:lineRule="auto"/>
            </w:pPr>
            <w:r>
              <w:rPr>
                <w:sz w:val="18"/>
              </w:rPr>
              <w:t>239</w:t>
            </w:r>
          </w:p>
        </w:tc>
        <w:tc>
          <w:tcPr>
            <w:tcW w:w="1860" w:type="dxa"/>
            <w:tcMar>
              <w:top w:w="0" w:type="dxa"/>
              <w:bottom w:w="0" w:type="dxa"/>
            </w:tcMar>
            <w:vAlign w:val="center"/>
          </w:tcPr>
          <w:p w:rsidR="00E4472F" w:rsidRDefault="00000000">
            <w:pPr>
              <w:keepNext/>
              <w:keepLines/>
              <w:spacing w:after="0" w:line="240" w:lineRule="auto"/>
              <w:jc w:val="right"/>
            </w:pPr>
            <w:r>
              <w:rPr>
                <w:sz w:val="18"/>
              </w:rPr>
              <w:t>11.915,50</w:t>
            </w:r>
          </w:p>
        </w:tc>
        <w:tc>
          <w:tcPr>
            <w:tcW w:w="1860" w:type="dxa"/>
            <w:tcMar>
              <w:top w:w="0" w:type="dxa"/>
              <w:bottom w:w="0" w:type="dxa"/>
            </w:tcMar>
            <w:vAlign w:val="center"/>
          </w:tcPr>
          <w:p w:rsidR="00E4472F" w:rsidRDefault="00000000">
            <w:pPr>
              <w:keepNext/>
              <w:keepLines/>
              <w:spacing w:after="0" w:line="240" w:lineRule="auto"/>
              <w:jc w:val="right"/>
            </w:pPr>
            <w:r>
              <w:rPr>
                <w:sz w:val="18"/>
              </w:rPr>
              <w:t>21.342,10</w:t>
            </w:r>
          </w:p>
        </w:tc>
        <w:tc>
          <w:tcPr>
            <w:tcW w:w="700" w:type="dxa"/>
            <w:tcMar>
              <w:top w:w="0" w:type="dxa"/>
              <w:bottom w:w="0" w:type="dxa"/>
            </w:tcMar>
            <w:vAlign w:val="center"/>
          </w:tcPr>
          <w:p w:rsidR="00E4472F" w:rsidRDefault="00000000">
            <w:pPr>
              <w:keepNext/>
              <w:keepLines/>
              <w:spacing w:after="0" w:line="240" w:lineRule="auto"/>
              <w:jc w:val="right"/>
            </w:pPr>
            <w:r>
              <w:rPr>
                <w:sz w:val="18"/>
              </w:rPr>
              <w:t>179,1</w:t>
            </w:r>
          </w:p>
        </w:tc>
      </w:tr>
    </w:tbl>
    <w:p w:rsidR="00E4472F" w:rsidRDefault="00E4472F">
      <w:pPr>
        <w:spacing w:after="0"/>
      </w:pPr>
    </w:p>
    <w:p w:rsidR="00E4472F" w:rsidRDefault="00000000">
      <w:r>
        <w:t>Ostale tekuće obveze (konto 239) na dan 31. prosinca 2025. godine iznose 21.342,10 EUR, što predstavlja povećanje od 79,1 % u odnosu na 2024. godinu, kada su iznosile 11.915,50 EUR. Povećanje navedenih obveza odnosi se na veći iznos kratkoročnih obveza nastalih u redovitom poslovanju u izvještajnom razdoblju.</w:t>
      </w:r>
    </w:p>
    <w:p w:rsidR="00E4472F" w:rsidRDefault="00E4472F"/>
    <w:p w:rsidR="00E4472F" w:rsidRDefault="00000000">
      <w:pPr>
        <w:keepNext/>
        <w:spacing w:line="240" w:lineRule="auto"/>
        <w:jc w:val="center"/>
      </w:pPr>
      <w:r>
        <w:rPr>
          <w:sz w:val="28"/>
        </w:rPr>
        <w:t>Bilješka 138.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24</w:t>
            </w:r>
          </w:p>
        </w:tc>
        <w:tc>
          <w:tcPr>
            <w:tcW w:w="3180" w:type="dxa"/>
            <w:tcMar>
              <w:top w:w="0" w:type="dxa"/>
              <w:bottom w:w="0" w:type="dxa"/>
            </w:tcMar>
            <w:vAlign w:val="center"/>
          </w:tcPr>
          <w:p w:rsidR="00E4472F" w:rsidRDefault="00000000">
            <w:pPr>
              <w:keepNext/>
              <w:keepLines/>
              <w:spacing w:after="0" w:line="240" w:lineRule="auto"/>
            </w:pPr>
            <w:r>
              <w:rPr>
                <w:sz w:val="18"/>
              </w:rPr>
              <w:t>Obveze za nabavu nefinancijske imovine (šifre 241 do 245)</w:t>
            </w:r>
          </w:p>
        </w:tc>
        <w:tc>
          <w:tcPr>
            <w:tcW w:w="700" w:type="dxa"/>
            <w:tcMar>
              <w:top w:w="0" w:type="dxa"/>
              <w:bottom w:w="0" w:type="dxa"/>
            </w:tcMar>
            <w:vAlign w:val="center"/>
          </w:tcPr>
          <w:p w:rsidR="00E4472F" w:rsidRDefault="00000000">
            <w:pPr>
              <w:keepNext/>
              <w:keepLines/>
              <w:spacing w:after="0" w:line="240" w:lineRule="auto"/>
            </w:pPr>
            <w:r>
              <w:rPr>
                <w:sz w:val="18"/>
              </w:rPr>
              <w:t>24</w:t>
            </w:r>
          </w:p>
        </w:tc>
        <w:tc>
          <w:tcPr>
            <w:tcW w:w="1860" w:type="dxa"/>
            <w:tcMar>
              <w:top w:w="0" w:type="dxa"/>
              <w:bottom w:w="0" w:type="dxa"/>
            </w:tcMar>
            <w:vAlign w:val="center"/>
          </w:tcPr>
          <w:p w:rsidR="00E4472F" w:rsidRDefault="00000000">
            <w:pPr>
              <w:keepNext/>
              <w:keepLines/>
              <w:spacing w:after="0" w:line="240" w:lineRule="auto"/>
              <w:jc w:val="right"/>
            </w:pPr>
            <w:r>
              <w:rPr>
                <w:sz w:val="18"/>
              </w:rPr>
              <w:t>44.848,37</w:t>
            </w:r>
          </w:p>
        </w:tc>
        <w:tc>
          <w:tcPr>
            <w:tcW w:w="1860" w:type="dxa"/>
            <w:tcMar>
              <w:top w:w="0" w:type="dxa"/>
              <w:bottom w:w="0" w:type="dxa"/>
            </w:tcMar>
            <w:vAlign w:val="center"/>
          </w:tcPr>
          <w:p w:rsidR="00E4472F" w:rsidRDefault="00000000">
            <w:pPr>
              <w:keepNext/>
              <w:keepLines/>
              <w:spacing w:after="0" w:line="240" w:lineRule="auto"/>
              <w:jc w:val="right"/>
            </w:pPr>
            <w:r>
              <w:rPr>
                <w:sz w:val="18"/>
              </w:rPr>
              <w:t>104.873,87</w:t>
            </w:r>
          </w:p>
        </w:tc>
        <w:tc>
          <w:tcPr>
            <w:tcW w:w="700" w:type="dxa"/>
            <w:tcMar>
              <w:top w:w="0" w:type="dxa"/>
              <w:bottom w:w="0" w:type="dxa"/>
            </w:tcMar>
            <w:vAlign w:val="center"/>
          </w:tcPr>
          <w:p w:rsidR="00E4472F" w:rsidRDefault="00000000">
            <w:pPr>
              <w:keepNext/>
              <w:keepLines/>
              <w:spacing w:after="0" w:line="240" w:lineRule="auto"/>
              <w:jc w:val="right"/>
            </w:pPr>
            <w:r>
              <w:rPr>
                <w:sz w:val="18"/>
              </w:rPr>
              <w:t>233,8</w:t>
            </w:r>
          </w:p>
        </w:tc>
      </w:tr>
    </w:tbl>
    <w:p w:rsidR="00E4472F" w:rsidRDefault="00E4472F">
      <w:pPr>
        <w:spacing w:after="0"/>
      </w:pPr>
    </w:p>
    <w:p w:rsidR="00E4472F" w:rsidRDefault="00000000">
      <w:r>
        <w:t>Obveze za nabavu nefinancijske imovine (razred 24) u 2025. godini iznose 104.873,87 EUR, što predstavlja povećanje od 133,8 % u odnosu na prethodnu godinu, kada su iznosile 44.848,37 EUR. Navedeni rast obveza u cijelosti se odnosi na obveze za nabavu proizvedene dugotrajne imovine (konto 242).</w:t>
      </w:r>
    </w:p>
    <w:p w:rsidR="00E4472F" w:rsidRDefault="00E4472F"/>
    <w:p w:rsidR="00E4472F" w:rsidRDefault="00000000">
      <w:pPr>
        <w:keepNext/>
        <w:spacing w:line="240" w:lineRule="auto"/>
        <w:jc w:val="center"/>
      </w:pPr>
      <w:r>
        <w:rPr>
          <w:sz w:val="28"/>
        </w:rPr>
        <w:lastRenderedPageBreak/>
        <w:t>Bilješka 139.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242</w:t>
            </w:r>
          </w:p>
        </w:tc>
        <w:tc>
          <w:tcPr>
            <w:tcW w:w="3180" w:type="dxa"/>
            <w:tcMar>
              <w:top w:w="0" w:type="dxa"/>
              <w:bottom w:w="0" w:type="dxa"/>
            </w:tcMar>
            <w:vAlign w:val="center"/>
          </w:tcPr>
          <w:p w:rsidR="00E4472F" w:rsidRDefault="00000000">
            <w:pPr>
              <w:keepNext/>
              <w:keepLines/>
              <w:spacing w:after="0" w:line="240" w:lineRule="auto"/>
            </w:pPr>
            <w:r>
              <w:rPr>
                <w:sz w:val="18"/>
              </w:rPr>
              <w:t>Obveze za nabavu proizvedene dugotrajne imovine</w:t>
            </w:r>
          </w:p>
        </w:tc>
        <w:tc>
          <w:tcPr>
            <w:tcW w:w="700" w:type="dxa"/>
            <w:tcMar>
              <w:top w:w="0" w:type="dxa"/>
              <w:bottom w:w="0" w:type="dxa"/>
            </w:tcMar>
            <w:vAlign w:val="center"/>
          </w:tcPr>
          <w:p w:rsidR="00E4472F" w:rsidRDefault="00000000">
            <w:pPr>
              <w:keepNext/>
              <w:keepLines/>
              <w:spacing w:after="0" w:line="240" w:lineRule="auto"/>
            </w:pPr>
            <w:r>
              <w:rPr>
                <w:sz w:val="18"/>
              </w:rPr>
              <w:t>242</w:t>
            </w:r>
          </w:p>
        </w:tc>
        <w:tc>
          <w:tcPr>
            <w:tcW w:w="1860" w:type="dxa"/>
            <w:tcMar>
              <w:top w:w="0" w:type="dxa"/>
              <w:bottom w:w="0" w:type="dxa"/>
            </w:tcMar>
            <w:vAlign w:val="center"/>
          </w:tcPr>
          <w:p w:rsidR="00E4472F" w:rsidRDefault="00000000">
            <w:pPr>
              <w:keepNext/>
              <w:keepLines/>
              <w:spacing w:after="0" w:line="240" w:lineRule="auto"/>
              <w:jc w:val="right"/>
            </w:pPr>
            <w:r>
              <w:rPr>
                <w:sz w:val="18"/>
              </w:rPr>
              <w:t>44.848,37</w:t>
            </w:r>
          </w:p>
        </w:tc>
        <w:tc>
          <w:tcPr>
            <w:tcW w:w="1860" w:type="dxa"/>
            <w:tcMar>
              <w:top w:w="0" w:type="dxa"/>
              <w:bottom w:w="0" w:type="dxa"/>
            </w:tcMar>
            <w:vAlign w:val="center"/>
          </w:tcPr>
          <w:p w:rsidR="00E4472F" w:rsidRDefault="00000000">
            <w:pPr>
              <w:keepNext/>
              <w:keepLines/>
              <w:spacing w:after="0" w:line="240" w:lineRule="auto"/>
              <w:jc w:val="right"/>
            </w:pPr>
            <w:r>
              <w:rPr>
                <w:sz w:val="18"/>
              </w:rPr>
              <w:t>104.873,87</w:t>
            </w:r>
          </w:p>
        </w:tc>
        <w:tc>
          <w:tcPr>
            <w:tcW w:w="700" w:type="dxa"/>
            <w:tcMar>
              <w:top w:w="0" w:type="dxa"/>
              <w:bottom w:w="0" w:type="dxa"/>
            </w:tcMar>
            <w:vAlign w:val="center"/>
          </w:tcPr>
          <w:p w:rsidR="00E4472F" w:rsidRDefault="00000000">
            <w:pPr>
              <w:keepNext/>
              <w:keepLines/>
              <w:spacing w:after="0" w:line="240" w:lineRule="auto"/>
              <w:jc w:val="right"/>
            </w:pPr>
            <w:r>
              <w:rPr>
                <w:sz w:val="18"/>
              </w:rPr>
              <w:t>233,8</w:t>
            </w:r>
          </w:p>
        </w:tc>
      </w:tr>
    </w:tbl>
    <w:p w:rsidR="00E4472F" w:rsidRDefault="00E4472F">
      <w:pPr>
        <w:spacing w:after="0"/>
      </w:pPr>
    </w:p>
    <w:p w:rsidR="00E4472F" w:rsidRDefault="00000000">
      <w:r>
        <w:t>Obveze za nabavu proizvedene dugotrajne imovine (konto 242) povećane su na 104.873,87 EUR, što je povezano s povećanim ulaganjima u dugotrajnu imovinu i obvezama nastalim temeljem nabave opreme u izvještajnom razdoblju, a čije plaćanje dospijeva u 2026. godini.</w:t>
      </w:r>
    </w:p>
    <w:p w:rsidR="00E4472F" w:rsidRDefault="00E4472F"/>
    <w:p w:rsidR="00E4472F" w:rsidRDefault="00000000">
      <w:pPr>
        <w:keepNext/>
        <w:spacing w:line="240" w:lineRule="auto"/>
        <w:jc w:val="center"/>
      </w:pPr>
      <w:r>
        <w:rPr>
          <w:sz w:val="28"/>
        </w:rPr>
        <w:t>Bilješka 140.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27</w:t>
            </w:r>
          </w:p>
        </w:tc>
        <w:tc>
          <w:tcPr>
            <w:tcW w:w="3180" w:type="dxa"/>
            <w:tcMar>
              <w:top w:w="0" w:type="dxa"/>
              <w:bottom w:w="0" w:type="dxa"/>
            </w:tcMar>
            <w:vAlign w:val="center"/>
          </w:tcPr>
          <w:p w:rsidR="00E4472F" w:rsidRDefault="00000000">
            <w:pPr>
              <w:keepNext/>
              <w:keepLines/>
              <w:spacing w:after="0" w:line="240" w:lineRule="auto"/>
            </w:pPr>
            <w:r>
              <w:rPr>
                <w:sz w:val="18"/>
              </w:rPr>
              <w:t xml:space="preserve">Obveze za predujmove, depozite, </w:t>
            </w:r>
            <w:proofErr w:type="spellStart"/>
            <w:r>
              <w:rPr>
                <w:sz w:val="18"/>
              </w:rPr>
              <w:t>jamčevne</w:t>
            </w:r>
            <w:proofErr w:type="spellEnd"/>
            <w:r>
              <w:rPr>
                <w:sz w:val="18"/>
              </w:rPr>
              <w:t xml:space="preserve"> </w:t>
            </w:r>
            <w:proofErr w:type="spellStart"/>
            <w:r>
              <w:rPr>
                <w:sz w:val="18"/>
              </w:rPr>
              <w:t>pologe</w:t>
            </w:r>
            <w:proofErr w:type="spellEnd"/>
            <w:r>
              <w:rPr>
                <w:sz w:val="18"/>
              </w:rPr>
              <w:t xml:space="preserve"> i tuđe prihode</w:t>
            </w:r>
          </w:p>
        </w:tc>
        <w:tc>
          <w:tcPr>
            <w:tcW w:w="700" w:type="dxa"/>
            <w:tcMar>
              <w:top w:w="0" w:type="dxa"/>
              <w:bottom w:w="0" w:type="dxa"/>
            </w:tcMar>
            <w:vAlign w:val="center"/>
          </w:tcPr>
          <w:p w:rsidR="00E4472F" w:rsidRDefault="00000000">
            <w:pPr>
              <w:keepNext/>
              <w:keepLines/>
              <w:spacing w:after="0" w:line="240" w:lineRule="auto"/>
            </w:pPr>
            <w:r>
              <w:rPr>
                <w:sz w:val="18"/>
              </w:rPr>
              <w:t>27</w:t>
            </w:r>
          </w:p>
        </w:tc>
        <w:tc>
          <w:tcPr>
            <w:tcW w:w="1860" w:type="dxa"/>
            <w:tcMar>
              <w:top w:w="0" w:type="dxa"/>
              <w:bottom w:w="0" w:type="dxa"/>
            </w:tcMar>
            <w:vAlign w:val="center"/>
          </w:tcPr>
          <w:p w:rsidR="00E4472F" w:rsidRDefault="00000000">
            <w:pPr>
              <w:keepNext/>
              <w:keepLines/>
              <w:spacing w:after="0" w:line="240" w:lineRule="auto"/>
              <w:jc w:val="right"/>
            </w:pPr>
            <w:r>
              <w:rPr>
                <w:sz w:val="18"/>
              </w:rPr>
              <w:t>34.785.366,40</w:t>
            </w:r>
          </w:p>
        </w:tc>
        <w:tc>
          <w:tcPr>
            <w:tcW w:w="1860" w:type="dxa"/>
            <w:tcMar>
              <w:top w:w="0" w:type="dxa"/>
              <w:bottom w:w="0" w:type="dxa"/>
            </w:tcMar>
            <w:vAlign w:val="center"/>
          </w:tcPr>
          <w:p w:rsidR="00E4472F" w:rsidRDefault="00000000">
            <w:pPr>
              <w:keepNext/>
              <w:keepLines/>
              <w:spacing w:after="0" w:line="240" w:lineRule="auto"/>
              <w:jc w:val="right"/>
            </w:pPr>
            <w:r>
              <w:rPr>
                <w:sz w:val="18"/>
              </w:rPr>
              <w:t>34.949.373,29</w:t>
            </w:r>
          </w:p>
        </w:tc>
        <w:tc>
          <w:tcPr>
            <w:tcW w:w="700" w:type="dxa"/>
            <w:tcMar>
              <w:top w:w="0" w:type="dxa"/>
              <w:bottom w:w="0" w:type="dxa"/>
            </w:tcMar>
            <w:vAlign w:val="center"/>
          </w:tcPr>
          <w:p w:rsidR="00E4472F" w:rsidRDefault="00000000">
            <w:pPr>
              <w:keepNext/>
              <w:keepLines/>
              <w:spacing w:after="0" w:line="240" w:lineRule="auto"/>
              <w:jc w:val="right"/>
            </w:pPr>
            <w:r>
              <w:rPr>
                <w:sz w:val="18"/>
              </w:rPr>
              <w:t>100,5</w:t>
            </w:r>
          </w:p>
        </w:tc>
      </w:tr>
    </w:tbl>
    <w:p w:rsidR="00E4472F" w:rsidRDefault="00E4472F">
      <w:pPr>
        <w:spacing w:after="0"/>
      </w:pPr>
    </w:p>
    <w:p w:rsidR="00E4472F" w:rsidRDefault="00000000">
      <w:pPr>
        <w:jc w:val="both"/>
      </w:pPr>
      <w:r>
        <w:t xml:space="preserve">Obveze za predujmove, depozite i </w:t>
      </w:r>
      <w:proofErr w:type="spellStart"/>
      <w:r>
        <w:t>jamčevne</w:t>
      </w:r>
      <w:proofErr w:type="spellEnd"/>
      <w:r>
        <w:t xml:space="preserve"> </w:t>
      </w:r>
      <w:proofErr w:type="spellStart"/>
      <w:r>
        <w:t>pologe</w:t>
      </w:r>
      <w:proofErr w:type="spellEnd"/>
      <w:r>
        <w:t xml:space="preserve"> (razred 27) na dan 31. prosinca 2025. godine iznose ukupno 34.949.373,29 EUR, što predstavlja neznatno povećanje od 0,5 % u odnosu na 2024. godinu, kada su iznosile 34.785.366,40 EUR. Obveze za predujmove (konto 27111) iznose 34.569.255,07 EUR, a odnose se na primljene predujmove HZZO-a te su na razini prethodne godine, kada su iznosile 34.566.315,20 EUR. Navedene obveze odnose se na primljene predujmove, koji će se razduživati priznavanjem prihoda u skladu s ugovornim odnosima.</w:t>
      </w:r>
    </w:p>
    <w:p w:rsidR="00E4472F" w:rsidRDefault="00000000">
      <w:pPr>
        <w:jc w:val="both"/>
      </w:pPr>
      <w:r>
        <w:t xml:space="preserve">Obveze za depozite (konto 27211) u 2025. godini iznose 26.775,16 EUR, što predstavlja povećanje od 93,0 % u odnosu na 2024. godinu, kada su iznosile 13.875,16 EUR. Obveze za </w:t>
      </w:r>
      <w:proofErr w:type="spellStart"/>
      <w:r>
        <w:t>jamčevne</w:t>
      </w:r>
      <w:proofErr w:type="spellEnd"/>
      <w:r>
        <w:t xml:space="preserve"> </w:t>
      </w:r>
      <w:proofErr w:type="spellStart"/>
      <w:r>
        <w:t>pologe</w:t>
      </w:r>
      <w:proofErr w:type="spellEnd"/>
      <w:r>
        <w:t xml:space="preserve"> (konto 27212) iznose 199.826,13 EUR, što predstavlja smanjenje od 2,6 % u odnosu na prethodnu godinu, kada su iznosile 205.167,04 EUR, a odnosi se na djelomične povrate i otpise </w:t>
      </w:r>
      <w:proofErr w:type="spellStart"/>
      <w:r>
        <w:t>zastarijelih</w:t>
      </w:r>
      <w:proofErr w:type="spellEnd"/>
      <w:r>
        <w:t xml:space="preserve"> obveza za </w:t>
      </w:r>
      <w:proofErr w:type="spellStart"/>
      <w:r>
        <w:t>jamčevne</w:t>
      </w:r>
      <w:proofErr w:type="spellEnd"/>
      <w:r>
        <w:t xml:space="preserve"> </w:t>
      </w:r>
      <w:proofErr w:type="spellStart"/>
      <w:r>
        <w:t>pologe</w:t>
      </w:r>
      <w:proofErr w:type="spellEnd"/>
      <w:r>
        <w:t xml:space="preserve"> tijekom izvještajnog razdoblja.</w:t>
      </w:r>
    </w:p>
    <w:p w:rsidR="00E4472F" w:rsidRDefault="00E4472F"/>
    <w:p w:rsidR="00E4472F" w:rsidRDefault="00000000">
      <w:pPr>
        <w:keepNext/>
        <w:spacing w:line="240" w:lineRule="auto"/>
        <w:jc w:val="center"/>
      </w:pPr>
      <w:r>
        <w:rPr>
          <w:sz w:val="28"/>
        </w:rPr>
        <w:t>Bilješka 141.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9</w:t>
            </w:r>
          </w:p>
        </w:tc>
        <w:tc>
          <w:tcPr>
            <w:tcW w:w="3180" w:type="dxa"/>
            <w:tcMar>
              <w:top w:w="0" w:type="dxa"/>
              <w:bottom w:w="0" w:type="dxa"/>
            </w:tcMar>
            <w:vAlign w:val="center"/>
          </w:tcPr>
          <w:p w:rsidR="00E4472F" w:rsidRDefault="00000000">
            <w:pPr>
              <w:keepNext/>
              <w:keepLines/>
              <w:spacing w:after="0" w:line="240" w:lineRule="auto"/>
            </w:pPr>
            <w:r>
              <w:rPr>
                <w:sz w:val="18"/>
              </w:rPr>
              <w:t>Vlastiti izvori (šifre 91 + 922 - 93 + 96 + 97)</w:t>
            </w:r>
          </w:p>
        </w:tc>
        <w:tc>
          <w:tcPr>
            <w:tcW w:w="700" w:type="dxa"/>
            <w:tcMar>
              <w:top w:w="0" w:type="dxa"/>
              <w:bottom w:w="0" w:type="dxa"/>
            </w:tcMar>
            <w:vAlign w:val="center"/>
          </w:tcPr>
          <w:p w:rsidR="00E4472F" w:rsidRDefault="00000000">
            <w:pPr>
              <w:keepNext/>
              <w:keepLines/>
              <w:spacing w:after="0" w:line="240" w:lineRule="auto"/>
            </w:pPr>
            <w:r>
              <w:rPr>
                <w:sz w:val="18"/>
              </w:rPr>
              <w:t>9</w:t>
            </w:r>
          </w:p>
        </w:tc>
        <w:tc>
          <w:tcPr>
            <w:tcW w:w="1860" w:type="dxa"/>
            <w:tcMar>
              <w:top w:w="0" w:type="dxa"/>
              <w:bottom w:w="0" w:type="dxa"/>
            </w:tcMar>
            <w:vAlign w:val="center"/>
          </w:tcPr>
          <w:p w:rsidR="00E4472F" w:rsidRDefault="00000000">
            <w:pPr>
              <w:keepNext/>
              <w:keepLines/>
              <w:spacing w:after="0" w:line="240" w:lineRule="auto"/>
              <w:jc w:val="right"/>
            </w:pPr>
            <w:r>
              <w:rPr>
                <w:sz w:val="18"/>
              </w:rPr>
              <w:t>-28.498.237,71</w:t>
            </w:r>
          </w:p>
        </w:tc>
        <w:tc>
          <w:tcPr>
            <w:tcW w:w="1860" w:type="dxa"/>
            <w:tcMar>
              <w:top w:w="0" w:type="dxa"/>
              <w:bottom w:w="0" w:type="dxa"/>
            </w:tcMar>
            <w:vAlign w:val="center"/>
          </w:tcPr>
          <w:p w:rsidR="00E4472F" w:rsidRDefault="00000000">
            <w:pPr>
              <w:keepNext/>
              <w:keepLines/>
              <w:spacing w:after="0" w:line="240" w:lineRule="auto"/>
              <w:jc w:val="right"/>
            </w:pPr>
            <w:r>
              <w:rPr>
                <w:sz w:val="18"/>
              </w:rPr>
              <w:t>-27.313.818,65</w:t>
            </w:r>
          </w:p>
        </w:tc>
        <w:tc>
          <w:tcPr>
            <w:tcW w:w="700" w:type="dxa"/>
            <w:tcMar>
              <w:top w:w="0" w:type="dxa"/>
              <w:bottom w:w="0" w:type="dxa"/>
            </w:tcMar>
            <w:vAlign w:val="center"/>
          </w:tcPr>
          <w:p w:rsidR="00E4472F" w:rsidRDefault="00000000">
            <w:pPr>
              <w:keepNext/>
              <w:keepLines/>
              <w:spacing w:after="0" w:line="240" w:lineRule="auto"/>
              <w:jc w:val="right"/>
            </w:pPr>
            <w:r>
              <w:rPr>
                <w:sz w:val="18"/>
              </w:rPr>
              <w:t>95,8</w:t>
            </w:r>
          </w:p>
        </w:tc>
      </w:tr>
    </w:tbl>
    <w:p w:rsidR="00E4472F" w:rsidRDefault="00E4472F">
      <w:pPr>
        <w:spacing w:after="0"/>
      </w:pPr>
    </w:p>
    <w:p w:rsidR="00E4472F" w:rsidRDefault="00000000">
      <w:pPr>
        <w:jc w:val="both"/>
      </w:pPr>
      <w:r>
        <w:t xml:space="preserve">Vlastiti izvori (šifra 9), utvrđeni kao zbroj vlastitih izvora i rezultata poslovanja, na dan 31. prosinca 2025. godine iznose –27.313.818,65 EUR, što predstavlja smanjenje negativnog iznosa u odnosu na 2024. godinu, kada su iznosili –28.498.237,71 EUR. Vlastiti izvori i ispravak vlastitih izvora (šifra 91) u 2025. godini iznose 21.704.444,67 EUR, što predstavlja </w:t>
      </w:r>
      <w:r>
        <w:lastRenderedPageBreak/>
        <w:t>povećanje od 17,0 % u odnosu na prethodnu godinu. Povećanje se odnosi na rast vlastitih izvora (šifra 911), koji iznose 21.704.444,67 EUR.</w:t>
      </w:r>
    </w:p>
    <w:p w:rsidR="00E4472F" w:rsidRDefault="00E4472F"/>
    <w:p w:rsidR="00E4472F" w:rsidRDefault="00000000">
      <w:pPr>
        <w:keepNext/>
        <w:spacing w:line="240" w:lineRule="auto"/>
        <w:jc w:val="center"/>
      </w:pPr>
      <w:r>
        <w:rPr>
          <w:sz w:val="28"/>
        </w:rPr>
        <w:t>Bilješka 142.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9222</w:t>
            </w:r>
          </w:p>
        </w:tc>
        <w:tc>
          <w:tcPr>
            <w:tcW w:w="3180" w:type="dxa"/>
            <w:tcMar>
              <w:top w:w="0" w:type="dxa"/>
              <w:bottom w:w="0" w:type="dxa"/>
            </w:tcMar>
            <w:vAlign w:val="center"/>
          </w:tcPr>
          <w:p w:rsidR="00E4472F" w:rsidRDefault="00000000">
            <w:pPr>
              <w:keepNext/>
              <w:keepLines/>
              <w:spacing w:after="0" w:line="240" w:lineRule="auto"/>
            </w:pPr>
            <w:r>
              <w:rPr>
                <w:sz w:val="18"/>
              </w:rPr>
              <w:t>Manjak prihoda i primitaka (šifre 92221 do 92223)</w:t>
            </w:r>
          </w:p>
        </w:tc>
        <w:tc>
          <w:tcPr>
            <w:tcW w:w="700" w:type="dxa"/>
            <w:tcMar>
              <w:top w:w="0" w:type="dxa"/>
              <w:bottom w:w="0" w:type="dxa"/>
            </w:tcMar>
            <w:vAlign w:val="center"/>
          </w:tcPr>
          <w:p w:rsidR="00E4472F" w:rsidRDefault="00000000">
            <w:pPr>
              <w:keepNext/>
              <w:keepLines/>
              <w:spacing w:after="0" w:line="240" w:lineRule="auto"/>
            </w:pPr>
            <w:r>
              <w:rPr>
                <w:sz w:val="18"/>
              </w:rPr>
              <w:t>9222</w:t>
            </w:r>
          </w:p>
        </w:tc>
        <w:tc>
          <w:tcPr>
            <w:tcW w:w="1860" w:type="dxa"/>
            <w:tcMar>
              <w:top w:w="0" w:type="dxa"/>
              <w:bottom w:w="0" w:type="dxa"/>
            </w:tcMar>
            <w:vAlign w:val="center"/>
          </w:tcPr>
          <w:p w:rsidR="00E4472F" w:rsidRDefault="00000000">
            <w:pPr>
              <w:keepNext/>
              <w:keepLines/>
              <w:spacing w:after="0" w:line="240" w:lineRule="auto"/>
              <w:jc w:val="right"/>
            </w:pPr>
            <w:r>
              <w:rPr>
                <w:sz w:val="18"/>
              </w:rPr>
              <w:t>50.352.919,51</w:t>
            </w:r>
          </w:p>
        </w:tc>
        <w:tc>
          <w:tcPr>
            <w:tcW w:w="1860" w:type="dxa"/>
            <w:tcMar>
              <w:top w:w="0" w:type="dxa"/>
              <w:bottom w:w="0" w:type="dxa"/>
            </w:tcMar>
            <w:vAlign w:val="center"/>
          </w:tcPr>
          <w:p w:rsidR="00E4472F" w:rsidRDefault="00000000">
            <w:pPr>
              <w:keepNext/>
              <w:keepLines/>
              <w:spacing w:after="0" w:line="240" w:lineRule="auto"/>
              <w:jc w:val="right"/>
            </w:pPr>
            <w:r>
              <w:rPr>
                <w:sz w:val="18"/>
              </w:rPr>
              <w:t>56.551.023,69</w:t>
            </w:r>
          </w:p>
        </w:tc>
        <w:tc>
          <w:tcPr>
            <w:tcW w:w="700" w:type="dxa"/>
            <w:tcMar>
              <w:top w:w="0" w:type="dxa"/>
              <w:bottom w:w="0" w:type="dxa"/>
            </w:tcMar>
            <w:vAlign w:val="center"/>
          </w:tcPr>
          <w:p w:rsidR="00E4472F" w:rsidRDefault="00000000">
            <w:pPr>
              <w:keepNext/>
              <w:keepLines/>
              <w:spacing w:after="0" w:line="240" w:lineRule="auto"/>
              <w:jc w:val="right"/>
            </w:pPr>
            <w:r>
              <w:rPr>
                <w:sz w:val="18"/>
              </w:rPr>
              <w:t>112,3</w:t>
            </w:r>
          </w:p>
        </w:tc>
      </w:tr>
    </w:tbl>
    <w:p w:rsidR="00E4472F" w:rsidRDefault="00E4472F">
      <w:pPr>
        <w:spacing w:after="0"/>
      </w:pPr>
    </w:p>
    <w:p w:rsidR="00E4472F" w:rsidRDefault="00000000">
      <w:pPr>
        <w:jc w:val="both"/>
      </w:pPr>
      <w:r>
        <w:t>Manjak prihoda i primitaka (šifra 9222) u 2025. godini iznosi 56.551.023,69 EUR, što predstavlja povećanje od 12,3 % u odnosu na 2024. godinu, kada je iznosio 50.352.919,51 EUR. Struktura manjka prihoda i primitaka sastoji se od manjka prihoda poslovanja (92221) u iznosu od 20.101.089,13 EUR, što predstavlja povećanje od 31,0 % u odnosu na prethodnu godinu, manjka prihoda od nefinancijske imovine (92222) u iznosu od 33.145.322,44 EUR, uz povećanje od 2,4 %, te manjka primitaka od financijske imovine (92223) u iznosu od 3.304.612,12 EUR, što predstavlja povećanje od 25,1 % u odnosu na 2024. godinu.</w:t>
      </w:r>
    </w:p>
    <w:p w:rsidR="00E4472F" w:rsidRDefault="00E4472F"/>
    <w:p w:rsidR="00E4472F" w:rsidRDefault="00000000">
      <w:pPr>
        <w:keepNext/>
        <w:spacing w:line="240" w:lineRule="auto"/>
        <w:jc w:val="center"/>
      </w:pPr>
      <w:r>
        <w:rPr>
          <w:sz w:val="28"/>
        </w:rPr>
        <w:t>Bilješka 143.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96</w:t>
            </w:r>
          </w:p>
        </w:tc>
        <w:tc>
          <w:tcPr>
            <w:tcW w:w="3180" w:type="dxa"/>
            <w:tcMar>
              <w:top w:w="0" w:type="dxa"/>
              <w:bottom w:w="0" w:type="dxa"/>
            </w:tcMar>
            <w:vAlign w:val="center"/>
          </w:tcPr>
          <w:p w:rsidR="00E4472F" w:rsidRDefault="00000000">
            <w:pPr>
              <w:keepNext/>
              <w:keepLines/>
              <w:spacing w:after="0" w:line="240" w:lineRule="auto"/>
            </w:pPr>
            <w:r>
              <w:rPr>
                <w:sz w:val="18"/>
              </w:rPr>
              <w:t>Obračunati prihodi poslovanja (šifre 961 do 963 + 964 do 968)</w:t>
            </w:r>
          </w:p>
        </w:tc>
        <w:tc>
          <w:tcPr>
            <w:tcW w:w="700" w:type="dxa"/>
            <w:tcMar>
              <w:top w:w="0" w:type="dxa"/>
              <w:bottom w:w="0" w:type="dxa"/>
            </w:tcMar>
            <w:vAlign w:val="center"/>
          </w:tcPr>
          <w:p w:rsidR="00E4472F" w:rsidRDefault="00000000">
            <w:pPr>
              <w:keepNext/>
              <w:keepLines/>
              <w:spacing w:after="0" w:line="240" w:lineRule="auto"/>
            </w:pPr>
            <w:r>
              <w:rPr>
                <w:sz w:val="18"/>
              </w:rPr>
              <w:t>96</w:t>
            </w:r>
          </w:p>
        </w:tc>
        <w:tc>
          <w:tcPr>
            <w:tcW w:w="1860" w:type="dxa"/>
            <w:tcMar>
              <w:top w:w="0" w:type="dxa"/>
              <w:bottom w:w="0" w:type="dxa"/>
            </w:tcMar>
            <w:vAlign w:val="center"/>
          </w:tcPr>
          <w:p w:rsidR="00E4472F" w:rsidRDefault="00000000">
            <w:pPr>
              <w:keepNext/>
              <w:keepLines/>
              <w:spacing w:after="0" w:line="240" w:lineRule="auto"/>
              <w:jc w:val="right"/>
            </w:pPr>
            <w:r>
              <w:rPr>
                <w:sz w:val="18"/>
              </w:rPr>
              <w:t>3.304.095,80</w:t>
            </w:r>
          </w:p>
        </w:tc>
        <w:tc>
          <w:tcPr>
            <w:tcW w:w="1860" w:type="dxa"/>
            <w:tcMar>
              <w:top w:w="0" w:type="dxa"/>
              <w:bottom w:w="0" w:type="dxa"/>
            </w:tcMar>
            <w:vAlign w:val="center"/>
          </w:tcPr>
          <w:p w:rsidR="00E4472F" w:rsidRDefault="00000000">
            <w:pPr>
              <w:keepNext/>
              <w:keepLines/>
              <w:spacing w:after="0" w:line="240" w:lineRule="auto"/>
              <w:jc w:val="right"/>
            </w:pPr>
            <w:r>
              <w:rPr>
                <w:sz w:val="18"/>
              </w:rPr>
              <w:t>7.532.760,37</w:t>
            </w:r>
          </w:p>
        </w:tc>
        <w:tc>
          <w:tcPr>
            <w:tcW w:w="700" w:type="dxa"/>
            <w:tcMar>
              <w:top w:w="0" w:type="dxa"/>
              <w:bottom w:w="0" w:type="dxa"/>
            </w:tcMar>
            <w:vAlign w:val="center"/>
          </w:tcPr>
          <w:p w:rsidR="00E4472F" w:rsidRDefault="00000000">
            <w:pPr>
              <w:keepNext/>
              <w:keepLines/>
              <w:spacing w:after="0" w:line="240" w:lineRule="auto"/>
              <w:jc w:val="right"/>
            </w:pPr>
            <w:r>
              <w:rPr>
                <w:sz w:val="18"/>
              </w:rPr>
              <w:t>228,0</w:t>
            </w:r>
          </w:p>
        </w:tc>
      </w:tr>
    </w:tbl>
    <w:p w:rsidR="00E4472F" w:rsidRDefault="00E4472F">
      <w:pPr>
        <w:spacing w:after="0"/>
      </w:pPr>
    </w:p>
    <w:p w:rsidR="00E4472F" w:rsidRDefault="00000000">
      <w:pPr>
        <w:jc w:val="both"/>
      </w:pPr>
      <w:r>
        <w:t>Obračunati prihodi poslovanja (razred 96) u 2025. godini iznose 7.532.760,37 EUR, što predstavlja povećanje od 128,0 % u odnosu na 2024. godinu, kada su iznosili 3.304.095,80 EUR. Povećanje obračunatih prihoda poslovanja odnosi se na rast obračunatih prihoda od upravnih i administrativnih pristojbi, naknada, kao i na povećanje obračunatih prihoda iz proračuna, koji su priznati sukladno modificiranom obračunskom načelu proračunskog računovodstva.</w:t>
      </w:r>
    </w:p>
    <w:p w:rsidR="00E4472F" w:rsidRDefault="00E4472F"/>
    <w:p w:rsidR="00E4472F" w:rsidRDefault="00000000">
      <w:pPr>
        <w:keepNext/>
        <w:spacing w:line="240" w:lineRule="auto"/>
        <w:jc w:val="center"/>
      </w:pPr>
      <w:r>
        <w:rPr>
          <w:sz w:val="28"/>
        </w:rPr>
        <w:t>Bilješka 144.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964</w:t>
            </w:r>
          </w:p>
        </w:tc>
        <w:tc>
          <w:tcPr>
            <w:tcW w:w="3180" w:type="dxa"/>
            <w:tcMar>
              <w:top w:w="0" w:type="dxa"/>
              <w:bottom w:w="0" w:type="dxa"/>
            </w:tcMar>
            <w:vAlign w:val="center"/>
          </w:tcPr>
          <w:p w:rsidR="00E4472F" w:rsidRDefault="00000000">
            <w:pPr>
              <w:keepNext/>
              <w:keepLines/>
              <w:spacing w:after="0" w:line="240" w:lineRule="auto"/>
            </w:pPr>
            <w:r>
              <w:rPr>
                <w:sz w:val="18"/>
              </w:rPr>
              <w:t>Obračunati prihodi od imovine</w:t>
            </w:r>
          </w:p>
        </w:tc>
        <w:tc>
          <w:tcPr>
            <w:tcW w:w="700" w:type="dxa"/>
            <w:tcMar>
              <w:top w:w="0" w:type="dxa"/>
              <w:bottom w:w="0" w:type="dxa"/>
            </w:tcMar>
            <w:vAlign w:val="center"/>
          </w:tcPr>
          <w:p w:rsidR="00E4472F" w:rsidRDefault="00000000">
            <w:pPr>
              <w:keepNext/>
              <w:keepLines/>
              <w:spacing w:after="0" w:line="240" w:lineRule="auto"/>
            </w:pPr>
            <w:r>
              <w:rPr>
                <w:sz w:val="18"/>
              </w:rPr>
              <w:t>964</w:t>
            </w:r>
          </w:p>
        </w:tc>
        <w:tc>
          <w:tcPr>
            <w:tcW w:w="1860" w:type="dxa"/>
            <w:tcMar>
              <w:top w:w="0" w:type="dxa"/>
              <w:bottom w:w="0" w:type="dxa"/>
            </w:tcMar>
            <w:vAlign w:val="center"/>
          </w:tcPr>
          <w:p w:rsidR="00E4472F" w:rsidRDefault="00000000">
            <w:pPr>
              <w:keepNext/>
              <w:keepLines/>
              <w:spacing w:after="0" w:line="240" w:lineRule="auto"/>
              <w:jc w:val="right"/>
            </w:pPr>
            <w:r>
              <w:rPr>
                <w:sz w:val="18"/>
              </w:rPr>
              <w:t>9.943,52</w:t>
            </w:r>
          </w:p>
        </w:tc>
        <w:tc>
          <w:tcPr>
            <w:tcW w:w="1860" w:type="dxa"/>
            <w:tcMar>
              <w:top w:w="0" w:type="dxa"/>
              <w:bottom w:w="0" w:type="dxa"/>
            </w:tcMar>
            <w:vAlign w:val="center"/>
          </w:tcPr>
          <w:p w:rsidR="00E4472F" w:rsidRDefault="00000000">
            <w:pPr>
              <w:keepNext/>
              <w:keepLines/>
              <w:spacing w:after="0" w:line="240" w:lineRule="auto"/>
              <w:jc w:val="right"/>
            </w:pPr>
            <w:r>
              <w:rPr>
                <w:sz w:val="18"/>
              </w:rPr>
              <w:t>9.943,52</w:t>
            </w:r>
          </w:p>
        </w:tc>
        <w:tc>
          <w:tcPr>
            <w:tcW w:w="700" w:type="dxa"/>
            <w:tcMar>
              <w:top w:w="0" w:type="dxa"/>
              <w:bottom w:w="0" w:type="dxa"/>
            </w:tcMar>
            <w:vAlign w:val="center"/>
          </w:tcPr>
          <w:p w:rsidR="00E4472F" w:rsidRDefault="00000000">
            <w:pPr>
              <w:keepNext/>
              <w:keepLines/>
              <w:spacing w:after="0" w:line="240" w:lineRule="auto"/>
              <w:jc w:val="right"/>
            </w:pPr>
            <w:r>
              <w:rPr>
                <w:sz w:val="18"/>
              </w:rPr>
              <w:t>100</w:t>
            </w:r>
          </w:p>
        </w:tc>
      </w:tr>
    </w:tbl>
    <w:p w:rsidR="00E4472F" w:rsidRDefault="00E4472F">
      <w:pPr>
        <w:spacing w:after="0"/>
      </w:pPr>
    </w:p>
    <w:p w:rsidR="00E4472F" w:rsidRDefault="00000000">
      <w:r>
        <w:t>Obračunati prihodi od imovine (konto 964) u 2025. godini iznose 9.943,52 EUR te su na razini prethodne godine, bez značajnijih promjena u odnosu na 2024. godinu.</w:t>
      </w:r>
    </w:p>
    <w:p w:rsidR="00E4472F" w:rsidRDefault="00000000">
      <w:r>
        <w:t> </w:t>
      </w:r>
    </w:p>
    <w:p w:rsidR="00E4472F" w:rsidRDefault="00E4472F"/>
    <w:p w:rsidR="00E4472F" w:rsidRDefault="00000000">
      <w:pPr>
        <w:keepNext/>
        <w:spacing w:line="240" w:lineRule="auto"/>
        <w:jc w:val="center"/>
      </w:pPr>
      <w:r>
        <w:rPr>
          <w:sz w:val="28"/>
        </w:rPr>
        <w:t>Bilješka 145.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965</w:t>
            </w:r>
          </w:p>
        </w:tc>
        <w:tc>
          <w:tcPr>
            <w:tcW w:w="3180" w:type="dxa"/>
            <w:tcMar>
              <w:top w:w="0" w:type="dxa"/>
              <w:bottom w:w="0" w:type="dxa"/>
            </w:tcMar>
            <w:vAlign w:val="center"/>
          </w:tcPr>
          <w:p w:rsidR="00E4472F" w:rsidRDefault="00000000">
            <w:pPr>
              <w:keepNext/>
              <w:keepLines/>
              <w:spacing w:after="0" w:line="240" w:lineRule="auto"/>
            </w:pPr>
            <w:r>
              <w:rPr>
                <w:sz w:val="18"/>
              </w:rPr>
              <w:t>Obračunati prihodi od upravnih i administrativnih pristojbi, pristojbi po posebnim propisima i naknada</w:t>
            </w:r>
          </w:p>
        </w:tc>
        <w:tc>
          <w:tcPr>
            <w:tcW w:w="700" w:type="dxa"/>
            <w:tcMar>
              <w:top w:w="0" w:type="dxa"/>
              <w:bottom w:w="0" w:type="dxa"/>
            </w:tcMar>
            <w:vAlign w:val="center"/>
          </w:tcPr>
          <w:p w:rsidR="00E4472F" w:rsidRDefault="00000000">
            <w:pPr>
              <w:keepNext/>
              <w:keepLines/>
              <w:spacing w:after="0" w:line="240" w:lineRule="auto"/>
            </w:pPr>
            <w:r>
              <w:rPr>
                <w:sz w:val="18"/>
              </w:rPr>
              <w:t>965</w:t>
            </w:r>
          </w:p>
        </w:tc>
        <w:tc>
          <w:tcPr>
            <w:tcW w:w="1860" w:type="dxa"/>
            <w:tcMar>
              <w:top w:w="0" w:type="dxa"/>
              <w:bottom w:w="0" w:type="dxa"/>
            </w:tcMar>
            <w:vAlign w:val="center"/>
          </w:tcPr>
          <w:p w:rsidR="00E4472F" w:rsidRDefault="00000000">
            <w:pPr>
              <w:keepNext/>
              <w:keepLines/>
              <w:spacing w:after="0" w:line="240" w:lineRule="auto"/>
              <w:jc w:val="right"/>
            </w:pPr>
            <w:r>
              <w:rPr>
                <w:sz w:val="18"/>
              </w:rPr>
              <w:t>1.525.160,45</w:t>
            </w:r>
          </w:p>
        </w:tc>
        <w:tc>
          <w:tcPr>
            <w:tcW w:w="1860" w:type="dxa"/>
            <w:tcMar>
              <w:top w:w="0" w:type="dxa"/>
              <w:bottom w:w="0" w:type="dxa"/>
            </w:tcMar>
            <w:vAlign w:val="center"/>
          </w:tcPr>
          <w:p w:rsidR="00E4472F" w:rsidRDefault="00000000">
            <w:pPr>
              <w:keepNext/>
              <w:keepLines/>
              <w:spacing w:after="0" w:line="240" w:lineRule="auto"/>
              <w:jc w:val="right"/>
            </w:pPr>
            <w:r>
              <w:rPr>
                <w:sz w:val="18"/>
              </w:rPr>
              <w:t>3.441.268,40</w:t>
            </w:r>
          </w:p>
        </w:tc>
        <w:tc>
          <w:tcPr>
            <w:tcW w:w="700" w:type="dxa"/>
            <w:tcMar>
              <w:top w:w="0" w:type="dxa"/>
              <w:bottom w:w="0" w:type="dxa"/>
            </w:tcMar>
            <w:vAlign w:val="center"/>
          </w:tcPr>
          <w:p w:rsidR="00E4472F" w:rsidRDefault="00000000">
            <w:pPr>
              <w:keepNext/>
              <w:keepLines/>
              <w:spacing w:after="0" w:line="240" w:lineRule="auto"/>
              <w:jc w:val="right"/>
            </w:pPr>
            <w:r>
              <w:rPr>
                <w:sz w:val="18"/>
              </w:rPr>
              <w:t>225,6</w:t>
            </w:r>
          </w:p>
        </w:tc>
      </w:tr>
    </w:tbl>
    <w:p w:rsidR="00E4472F" w:rsidRDefault="00E4472F">
      <w:pPr>
        <w:spacing w:after="0"/>
      </w:pPr>
    </w:p>
    <w:p w:rsidR="00E4472F" w:rsidRDefault="00000000">
      <w:r>
        <w:t>Obračunati prihodi od upravnih i administrativnih pristojbi, pristojbi po posebnim propisima i naknada (konto 965) u 2025. godini iznose 3.441.268,40 EUR, što predstavlja povećanje od 125,6 % u odnosu na 2024. godinu. Povećanje navedenih prihoda povezano je s većim obujmom pruženih usluga i priznatih naknada u izvještajnom razdoblju.</w:t>
      </w:r>
    </w:p>
    <w:p w:rsidR="00E4472F" w:rsidRDefault="00000000">
      <w:r>
        <w:t> </w:t>
      </w:r>
    </w:p>
    <w:p w:rsidR="00E4472F" w:rsidRDefault="00E4472F"/>
    <w:p w:rsidR="00E4472F" w:rsidRDefault="00000000">
      <w:pPr>
        <w:keepNext/>
        <w:spacing w:line="240" w:lineRule="auto"/>
        <w:jc w:val="center"/>
      </w:pPr>
      <w:r>
        <w:rPr>
          <w:sz w:val="28"/>
        </w:rPr>
        <w:t>Bilješka 146.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966</w:t>
            </w:r>
          </w:p>
        </w:tc>
        <w:tc>
          <w:tcPr>
            <w:tcW w:w="3180" w:type="dxa"/>
            <w:tcMar>
              <w:top w:w="0" w:type="dxa"/>
              <w:bottom w:w="0" w:type="dxa"/>
            </w:tcMar>
            <w:vAlign w:val="center"/>
          </w:tcPr>
          <w:p w:rsidR="00E4472F" w:rsidRDefault="00000000">
            <w:pPr>
              <w:keepNext/>
              <w:keepLines/>
              <w:spacing w:after="0" w:line="240" w:lineRule="auto"/>
            </w:pPr>
            <w:r>
              <w:rPr>
                <w:sz w:val="18"/>
              </w:rPr>
              <w:t>Obračunati ostali prihodi</w:t>
            </w:r>
          </w:p>
        </w:tc>
        <w:tc>
          <w:tcPr>
            <w:tcW w:w="700" w:type="dxa"/>
            <w:tcMar>
              <w:top w:w="0" w:type="dxa"/>
              <w:bottom w:w="0" w:type="dxa"/>
            </w:tcMar>
            <w:vAlign w:val="center"/>
          </w:tcPr>
          <w:p w:rsidR="00E4472F" w:rsidRDefault="00000000">
            <w:pPr>
              <w:keepNext/>
              <w:keepLines/>
              <w:spacing w:after="0" w:line="240" w:lineRule="auto"/>
            </w:pPr>
            <w:r>
              <w:rPr>
                <w:sz w:val="18"/>
              </w:rPr>
              <w:t>966</w:t>
            </w:r>
          </w:p>
        </w:tc>
        <w:tc>
          <w:tcPr>
            <w:tcW w:w="1860" w:type="dxa"/>
            <w:tcMar>
              <w:top w:w="0" w:type="dxa"/>
              <w:bottom w:w="0" w:type="dxa"/>
            </w:tcMar>
            <w:vAlign w:val="center"/>
          </w:tcPr>
          <w:p w:rsidR="00E4472F" w:rsidRDefault="00000000">
            <w:pPr>
              <w:keepNext/>
              <w:keepLines/>
              <w:spacing w:after="0" w:line="240" w:lineRule="auto"/>
              <w:jc w:val="right"/>
            </w:pPr>
            <w:r>
              <w:rPr>
                <w:sz w:val="18"/>
              </w:rPr>
              <w:t>502.745,65</w:t>
            </w:r>
          </w:p>
        </w:tc>
        <w:tc>
          <w:tcPr>
            <w:tcW w:w="1860" w:type="dxa"/>
            <w:tcMar>
              <w:top w:w="0" w:type="dxa"/>
              <w:bottom w:w="0" w:type="dxa"/>
            </w:tcMar>
            <w:vAlign w:val="center"/>
          </w:tcPr>
          <w:p w:rsidR="00E4472F" w:rsidRDefault="00000000">
            <w:pPr>
              <w:keepNext/>
              <w:keepLines/>
              <w:spacing w:after="0" w:line="240" w:lineRule="auto"/>
              <w:jc w:val="right"/>
            </w:pPr>
            <w:r>
              <w:rPr>
                <w:sz w:val="18"/>
              </w:rPr>
              <w:t>644.030,82</w:t>
            </w:r>
          </w:p>
        </w:tc>
        <w:tc>
          <w:tcPr>
            <w:tcW w:w="700" w:type="dxa"/>
            <w:tcMar>
              <w:top w:w="0" w:type="dxa"/>
              <w:bottom w:w="0" w:type="dxa"/>
            </w:tcMar>
            <w:vAlign w:val="center"/>
          </w:tcPr>
          <w:p w:rsidR="00E4472F" w:rsidRDefault="00000000">
            <w:pPr>
              <w:keepNext/>
              <w:keepLines/>
              <w:spacing w:after="0" w:line="240" w:lineRule="auto"/>
              <w:jc w:val="right"/>
            </w:pPr>
            <w:r>
              <w:rPr>
                <w:sz w:val="18"/>
              </w:rPr>
              <w:t>128,1</w:t>
            </w:r>
          </w:p>
        </w:tc>
      </w:tr>
    </w:tbl>
    <w:p w:rsidR="00E4472F" w:rsidRDefault="00E4472F">
      <w:pPr>
        <w:spacing w:after="0"/>
      </w:pPr>
    </w:p>
    <w:p w:rsidR="00E4472F" w:rsidRDefault="00000000">
      <w:r>
        <w:t>Obračunati ostali prihodi (konto 966) iznose 644.030,82 EUR, što predstavlja povećanje od 28,1 % u odnosu na prethodnu godinu. Navedeno povećanje odnosi se na rast ostalih obračunatih prihoda nastalih u redovitom poslovanju.</w:t>
      </w:r>
    </w:p>
    <w:p w:rsidR="00E4472F" w:rsidRDefault="00000000">
      <w:r>
        <w:t> </w:t>
      </w:r>
    </w:p>
    <w:p w:rsidR="00E4472F" w:rsidRDefault="00E4472F"/>
    <w:p w:rsidR="00E4472F" w:rsidRDefault="00000000">
      <w:pPr>
        <w:keepNext/>
        <w:spacing w:line="240" w:lineRule="auto"/>
        <w:jc w:val="center"/>
      </w:pPr>
      <w:r>
        <w:rPr>
          <w:sz w:val="28"/>
        </w:rPr>
        <w:t>Bilješka 147.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967</w:t>
            </w:r>
          </w:p>
        </w:tc>
        <w:tc>
          <w:tcPr>
            <w:tcW w:w="3180" w:type="dxa"/>
            <w:tcMar>
              <w:top w:w="0" w:type="dxa"/>
              <w:bottom w:w="0" w:type="dxa"/>
            </w:tcMar>
            <w:vAlign w:val="center"/>
          </w:tcPr>
          <w:p w:rsidR="00E4472F" w:rsidRDefault="00000000">
            <w:pPr>
              <w:keepNext/>
              <w:keepLines/>
              <w:spacing w:after="0" w:line="240" w:lineRule="auto"/>
            </w:pPr>
            <w:r>
              <w:rPr>
                <w:sz w:val="18"/>
              </w:rPr>
              <w:t>Obračunati prihodi iz proračuna</w:t>
            </w:r>
          </w:p>
        </w:tc>
        <w:tc>
          <w:tcPr>
            <w:tcW w:w="700" w:type="dxa"/>
            <w:tcMar>
              <w:top w:w="0" w:type="dxa"/>
              <w:bottom w:w="0" w:type="dxa"/>
            </w:tcMar>
            <w:vAlign w:val="center"/>
          </w:tcPr>
          <w:p w:rsidR="00E4472F" w:rsidRDefault="00000000">
            <w:pPr>
              <w:keepNext/>
              <w:keepLines/>
              <w:spacing w:after="0" w:line="240" w:lineRule="auto"/>
            </w:pPr>
            <w:r>
              <w:rPr>
                <w:sz w:val="18"/>
              </w:rPr>
              <w:t>967</w:t>
            </w:r>
          </w:p>
        </w:tc>
        <w:tc>
          <w:tcPr>
            <w:tcW w:w="1860" w:type="dxa"/>
            <w:tcMar>
              <w:top w:w="0" w:type="dxa"/>
              <w:bottom w:w="0" w:type="dxa"/>
            </w:tcMar>
            <w:vAlign w:val="center"/>
          </w:tcPr>
          <w:p w:rsidR="00E4472F" w:rsidRDefault="00000000">
            <w:pPr>
              <w:keepNext/>
              <w:keepLines/>
              <w:spacing w:after="0" w:line="240" w:lineRule="auto"/>
              <w:jc w:val="right"/>
            </w:pPr>
            <w:r>
              <w:rPr>
                <w:sz w:val="18"/>
              </w:rPr>
              <w:t>1.236.786,15</w:t>
            </w:r>
          </w:p>
        </w:tc>
        <w:tc>
          <w:tcPr>
            <w:tcW w:w="1860" w:type="dxa"/>
            <w:tcMar>
              <w:top w:w="0" w:type="dxa"/>
              <w:bottom w:w="0" w:type="dxa"/>
            </w:tcMar>
            <w:vAlign w:val="center"/>
          </w:tcPr>
          <w:p w:rsidR="00E4472F" w:rsidRDefault="00000000">
            <w:pPr>
              <w:keepNext/>
              <w:keepLines/>
              <w:spacing w:after="0" w:line="240" w:lineRule="auto"/>
              <w:jc w:val="right"/>
            </w:pPr>
            <w:r>
              <w:rPr>
                <w:sz w:val="18"/>
              </w:rPr>
              <w:t>3.409.220,06</w:t>
            </w:r>
          </w:p>
        </w:tc>
        <w:tc>
          <w:tcPr>
            <w:tcW w:w="700" w:type="dxa"/>
            <w:tcMar>
              <w:top w:w="0" w:type="dxa"/>
              <w:bottom w:w="0" w:type="dxa"/>
            </w:tcMar>
            <w:vAlign w:val="center"/>
          </w:tcPr>
          <w:p w:rsidR="00E4472F" w:rsidRDefault="00000000">
            <w:pPr>
              <w:keepNext/>
              <w:keepLines/>
              <w:spacing w:after="0" w:line="240" w:lineRule="auto"/>
              <w:jc w:val="right"/>
            </w:pPr>
            <w:r>
              <w:rPr>
                <w:sz w:val="18"/>
              </w:rPr>
              <w:t>275,7</w:t>
            </w:r>
          </w:p>
        </w:tc>
      </w:tr>
    </w:tbl>
    <w:p w:rsidR="00E4472F" w:rsidRDefault="00E4472F">
      <w:pPr>
        <w:spacing w:after="0"/>
      </w:pPr>
    </w:p>
    <w:p w:rsidR="00E4472F" w:rsidRDefault="00000000">
      <w:r>
        <w:t xml:space="preserve">Obračunati prihodi iz proračuna (konto 967) u 2025. godini iznose 3.409.220,06 EUR, što predstavlja povećanje od 175,7 % u odnosu na 2024. godinu. Povećanje se odnosi na veći iznos </w:t>
      </w:r>
      <w:proofErr w:type="spellStart"/>
      <w:r>
        <w:t>pbračunatih</w:t>
      </w:r>
      <w:proofErr w:type="spellEnd"/>
      <w:r>
        <w:t xml:space="preserve"> prihoda za pružene zdravstvene usluge HZZO-u u izvještajnom razdoblju.</w:t>
      </w:r>
    </w:p>
    <w:p w:rsidR="00E4472F" w:rsidRDefault="00000000">
      <w:r>
        <w:t> </w:t>
      </w:r>
    </w:p>
    <w:p w:rsidR="00E4472F" w:rsidRDefault="00E4472F"/>
    <w:p w:rsidR="00E4472F" w:rsidRDefault="00000000">
      <w:pPr>
        <w:keepNext/>
        <w:spacing w:line="240" w:lineRule="auto"/>
        <w:jc w:val="center"/>
      </w:pPr>
      <w:r>
        <w:rPr>
          <w:sz w:val="28"/>
        </w:rPr>
        <w:lastRenderedPageBreak/>
        <w:t>Bilješka 148.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27111</w:t>
            </w:r>
          </w:p>
        </w:tc>
        <w:tc>
          <w:tcPr>
            <w:tcW w:w="3180" w:type="dxa"/>
            <w:tcMar>
              <w:top w:w="0" w:type="dxa"/>
              <w:bottom w:w="0" w:type="dxa"/>
            </w:tcMar>
            <w:vAlign w:val="center"/>
          </w:tcPr>
          <w:p w:rsidR="00E4472F" w:rsidRDefault="00000000">
            <w:pPr>
              <w:keepNext/>
              <w:keepLines/>
              <w:spacing w:after="0" w:line="240" w:lineRule="auto"/>
            </w:pPr>
            <w:r>
              <w:rPr>
                <w:sz w:val="18"/>
              </w:rPr>
              <w:t>Obveze za predujmove</w:t>
            </w:r>
          </w:p>
        </w:tc>
        <w:tc>
          <w:tcPr>
            <w:tcW w:w="700" w:type="dxa"/>
            <w:tcMar>
              <w:top w:w="0" w:type="dxa"/>
              <w:bottom w:w="0" w:type="dxa"/>
            </w:tcMar>
            <w:vAlign w:val="center"/>
          </w:tcPr>
          <w:p w:rsidR="00E4472F" w:rsidRDefault="00000000">
            <w:pPr>
              <w:keepNext/>
              <w:keepLines/>
              <w:spacing w:after="0" w:line="240" w:lineRule="auto"/>
            </w:pPr>
            <w:r>
              <w:rPr>
                <w:sz w:val="18"/>
              </w:rPr>
              <w:t>27111</w:t>
            </w:r>
          </w:p>
        </w:tc>
        <w:tc>
          <w:tcPr>
            <w:tcW w:w="1860" w:type="dxa"/>
            <w:tcMar>
              <w:top w:w="0" w:type="dxa"/>
              <w:bottom w:w="0" w:type="dxa"/>
            </w:tcMar>
            <w:vAlign w:val="center"/>
          </w:tcPr>
          <w:p w:rsidR="00E4472F" w:rsidRDefault="00000000">
            <w:pPr>
              <w:keepNext/>
              <w:keepLines/>
              <w:spacing w:after="0" w:line="240" w:lineRule="auto"/>
              <w:jc w:val="right"/>
            </w:pPr>
            <w:r>
              <w:rPr>
                <w:sz w:val="18"/>
              </w:rPr>
              <w:t>34.566.315,20</w:t>
            </w:r>
          </w:p>
        </w:tc>
        <w:tc>
          <w:tcPr>
            <w:tcW w:w="1860" w:type="dxa"/>
            <w:tcMar>
              <w:top w:w="0" w:type="dxa"/>
              <w:bottom w:w="0" w:type="dxa"/>
            </w:tcMar>
            <w:vAlign w:val="center"/>
          </w:tcPr>
          <w:p w:rsidR="00E4472F" w:rsidRDefault="00000000">
            <w:pPr>
              <w:keepNext/>
              <w:keepLines/>
              <w:spacing w:after="0" w:line="240" w:lineRule="auto"/>
              <w:jc w:val="right"/>
            </w:pPr>
            <w:r>
              <w:rPr>
                <w:sz w:val="18"/>
              </w:rPr>
              <w:t>34.569.255,07</w:t>
            </w:r>
          </w:p>
        </w:tc>
        <w:tc>
          <w:tcPr>
            <w:tcW w:w="700" w:type="dxa"/>
            <w:tcMar>
              <w:top w:w="0" w:type="dxa"/>
              <w:bottom w:w="0" w:type="dxa"/>
            </w:tcMar>
            <w:vAlign w:val="center"/>
          </w:tcPr>
          <w:p w:rsidR="00E4472F" w:rsidRDefault="00000000">
            <w:pPr>
              <w:keepNext/>
              <w:keepLines/>
              <w:spacing w:after="0" w:line="240" w:lineRule="auto"/>
              <w:jc w:val="right"/>
            </w:pPr>
            <w:r>
              <w:rPr>
                <w:sz w:val="18"/>
              </w:rPr>
              <w:t>100,0</w:t>
            </w:r>
          </w:p>
        </w:tc>
      </w:tr>
    </w:tbl>
    <w:p w:rsidR="00E4472F" w:rsidRDefault="00E4472F">
      <w:pPr>
        <w:spacing w:after="0"/>
      </w:pPr>
    </w:p>
    <w:p w:rsidR="00E4472F" w:rsidRDefault="00000000">
      <w:pPr>
        <w:jc w:val="both"/>
      </w:pPr>
      <w:r>
        <w:t>Obveze za predujmove (konto 27111) na dan 31. prosinca 2025. godine iznose 34.569.255,07 EUR te su neznatno povećane u odnosu na 2024. godinu, kada su iznosile 34.566.315,20 EUR. Navedene obveze odnose se na primljene predujmove za financiranje zdravstvenih usluga, koji će se razdužiti priznavanjem prihoda u skladu s ugovornim odnosima.</w:t>
      </w:r>
    </w:p>
    <w:p w:rsidR="00E4472F" w:rsidRDefault="00E4472F"/>
    <w:p w:rsidR="00E4472F" w:rsidRDefault="00000000">
      <w:pPr>
        <w:keepNext/>
        <w:spacing w:line="240" w:lineRule="auto"/>
        <w:jc w:val="center"/>
      </w:pPr>
      <w:r>
        <w:rPr>
          <w:sz w:val="28"/>
        </w:rPr>
        <w:t>Bilješka 149.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27211</w:t>
            </w:r>
          </w:p>
        </w:tc>
        <w:tc>
          <w:tcPr>
            <w:tcW w:w="3180" w:type="dxa"/>
            <w:tcMar>
              <w:top w:w="0" w:type="dxa"/>
              <w:bottom w:w="0" w:type="dxa"/>
            </w:tcMar>
            <w:vAlign w:val="center"/>
          </w:tcPr>
          <w:p w:rsidR="00E4472F" w:rsidRDefault="00000000">
            <w:pPr>
              <w:keepNext/>
              <w:keepLines/>
              <w:spacing w:after="0" w:line="240" w:lineRule="auto"/>
            </w:pPr>
            <w:r>
              <w:rPr>
                <w:sz w:val="18"/>
              </w:rPr>
              <w:t>Obveze za depozite</w:t>
            </w:r>
          </w:p>
        </w:tc>
        <w:tc>
          <w:tcPr>
            <w:tcW w:w="700" w:type="dxa"/>
            <w:tcMar>
              <w:top w:w="0" w:type="dxa"/>
              <w:bottom w:w="0" w:type="dxa"/>
            </w:tcMar>
            <w:vAlign w:val="center"/>
          </w:tcPr>
          <w:p w:rsidR="00E4472F" w:rsidRDefault="00000000">
            <w:pPr>
              <w:keepNext/>
              <w:keepLines/>
              <w:spacing w:after="0" w:line="240" w:lineRule="auto"/>
            </w:pPr>
            <w:r>
              <w:rPr>
                <w:sz w:val="18"/>
              </w:rPr>
              <w:t>27211</w:t>
            </w:r>
          </w:p>
        </w:tc>
        <w:tc>
          <w:tcPr>
            <w:tcW w:w="1860" w:type="dxa"/>
            <w:tcMar>
              <w:top w:w="0" w:type="dxa"/>
              <w:bottom w:w="0" w:type="dxa"/>
            </w:tcMar>
            <w:vAlign w:val="center"/>
          </w:tcPr>
          <w:p w:rsidR="00E4472F" w:rsidRDefault="00000000">
            <w:pPr>
              <w:keepNext/>
              <w:keepLines/>
              <w:spacing w:after="0" w:line="240" w:lineRule="auto"/>
              <w:jc w:val="right"/>
            </w:pPr>
            <w:r>
              <w:rPr>
                <w:sz w:val="18"/>
              </w:rPr>
              <w:t>13.875,16</w:t>
            </w:r>
          </w:p>
        </w:tc>
        <w:tc>
          <w:tcPr>
            <w:tcW w:w="1860" w:type="dxa"/>
            <w:tcMar>
              <w:top w:w="0" w:type="dxa"/>
              <w:bottom w:w="0" w:type="dxa"/>
            </w:tcMar>
            <w:vAlign w:val="center"/>
          </w:tcPr>
          <w:p w:rsidR="00E4472F" w:rsidRDefault="00000000">
            <w:pPr>
              <w:keepNext/>
              <w:keepLines/>
              <w:spacing w:after="0" w:line="240" w:lineRule="auto"/>
              <w:jc w:val="right"/>
            </w:pPr>
            <w:r>
              <w:rPr>
                <w:sz w:val="18"/>
              </w:rPr>
              <w:t>26.775,16</w:t>
            </w:r>
          </w:p>
        </w:tc>
        <w:tc>
          <w:tcPr>
            <w:tcW w:w="700" w:type="dxa"/>
            <w:tcMar>
              <w:top w:w="0" w:type="dxa"/>
              <w:bottom w:w="0" w:type="dxa"/>
            </w:tcMar>
            <w:vAlign w:val="center"/>
          </w:tcPr>
          <w:p w:rsidR="00E4472F" w:rsidRDefault="00000000">
            <w:pPr>
              <w:keepNext/>
              <w:keepLines/>
              <w:spacing w:after="0" w:line="240" w:lineRule="auto"/>
              <w:jc w:val="right"/>
            </w:pPr>
            <w:r>
              <w:rPr>
                <w:sz w:val="18"/>
              </w:rPr>
              <w:t>193,0</w:t>
            </w:r>
          </w:p>
        </w:tc>
      </w:tr>
    </w:tbl>
    <w:p w:rsidR="00E4472F" w:rsidRDefault="00E4472F">
      <w:pPr>
        <w:spacing w:after="0"/>
      </w:pPr>
    </w:p>
    <w:p w:rsidR="00E4472F" w:rsidRDefault="00000000">
      <w:pPr>
        <w:jc w:val="both"/>
      </w:pPr>
      <w:r>
        <w:t>Obveze za depozite (konto 27211) u 2025. godini iznose 26.775,16 EUR, što predstavlja povećanje od 93,0 % u odnosu na 2024. godinu, kada su iznosile 13.875,16 EUR. Povećanje se odnosi na veći iznos zaprimljenih depozita u izvještajnom razdoblju.</w:t>
      </w:r>
    </w:p>
    <w:p w:rsidR="00E4472F" w:rsidRDefault="00E4472F"/>
    <w:p w:rsidR="00E4472F" w:rsidRDefault="00000000">
      <w:pPr>
        <w:keepNext/>
        <w:spacing w:line="240" w:lineRule="auto"/>
        <w:jc w:val="center"/>
      </w:pPr>
      <w:r>
        <w:rPr>
          <w:sz w:val="28"/>
        </w:rPr>
        <w:t>Bilješka 150.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27212</w:t>
            </w:r>
          </w:p>
        </w:tc>
        <w:tc>
          <w:tcPr>
            <w:tcW w:w="3180" w:type="dxa"/>
            <w:tcMar>
              <w:top w:w="0" w:type="dxa"/>
              <w:bottom w:w="0" w:type="dxa"/>
            </w:tcMar>
            <w:vAlign w:val="center"/>
          </w:tcPr>
          <w:p w:rsidR="00E4472F" w:rsidRDefault="00000000">
            <w:pPr>
              <w:keepNext/>
              <w:keepLines/>
              <w:spacing w:after="0" w:line="240" w:lineRule="auto"/>
            </w:pPr>
            <w:r>
              <w:rPr>
                <w:sz w:val="18"/>
              </w:rPr>
              <w:t xml:space="preserve">Obveze za </w:t>
            </w:r>
            <w:proofErr w:type="spellStart"/>
            <w:r>
              <w:rPr>
                <w:sz w:val="18"/>
              </w:rPr>
              <w:t>jamčevne</w:t>
            </w:r>
            <w:proofErr w:type="spellEnd"/>
            <w:r>
              <w:rPr>
                <w:sz w:val="18"/>
              </w:rPr>
              <w:t xml:space="preserve"> </w:t>
            </w:r>
            <w:proofErr w:type="spellStart"/>
            <w:r>
              <w:rPr>
                <w:sz w:val="18"/>
              </w:rPr>
              <w:t>pologe</w:t>
            </w:r>
            <w:proofErr w:type="spellEnd"/>
          </w:p>
        </w:tc>
        <w:tc>
          <w:tcPr>
            <w:tcW w:w="700" w:type="dxa"/>
            <w:tcMar>
              <w:top w:w="0" w:type="dxa"/>
              <w:bottom w:w="0" w:type="dxa"/>
            </w:tcMar>
            <w:vAlign w:val="center"/>
          </w:tcPr>
          <w:p w:rsidR="00E4472F" w:rsidRDefault="00000000">
            <w:pPr>
              <w:keepNext/>
              <w:keepLines/>
              <w:spacing w:after="0" w:line="240" w:lineRule="auto"/>
            </w:pPr>
            <w:r>
              <w:rPr>
                <w:sz w:val="18"/>
              </w:rPr>
              <w:t>27212</w:t>
            </w:r>
          </w:p>
        </w:tc>
        <w:tc>
          <w:tcPr>
            <w:tcW w:w="1860" w:type="dxa"/>
            <w:tcMar>
              <w:top w:w="0" w:type="dxa"/>
              <w:bottom w:w="0" w:type="dxa"/>
            </w:tcMar>
            <w:vAlign w:val="center"/>
          </w:tcPr>
          <w:p w:rsidR="00E4472F" w:rsidRDefault="00000000">
            <w:pPr>
              <w:keepNext/>
              <w:keepLines/>
              <w:spacing w:after="0" w:line="240" w:lineRule="auto"/>
              <w:jc w:val="right"/>
            </w:pPr>
            <w:r>
              <w:rPr>
                <w:sz w:val="18"/>
              </w:rPr>
              <w:t>205.167,04</w:t>
            </w:r>
          </w:p>
        </w:tc>
        <w:tc>
          <w:tcPr>
            <w:tcW w:w="1860" w:type="dxa"/>
            <w:tcMar>
              <w:top w:w="0" w:type="dxa"/>
              <w:bottom w:w="0" w:type="dxa"/>
            </w:tcMar>
            <w:vAlign w:val="center"/>
          </w:tcPr>
          <w:p w:rsidR="00E4472F" w:rsidRDefault="00000000">
            <w:pPr>
              <w:keepNext/>
              <w:keepLines/>
              <w:spacing w:after="0" w:line="240" w:lineRule="auto"/>
              <w:jc w:val="right"/>
            </w:pPr>
            <w:r>
              <w:rPr>
                <w:sz w:val="18"/>
              </w:rPr>
              <w:t>199.826,13</w:t>
            </w:r>
          </w:p>
        </w:tc>
        <w:tc>
          <w:tcPr>
            <w:tcW w:w="700" w:type="dxa"/>
            <w:tcMar>
              <w:top w:w="0" w:type="dxa"/>
              <w:bottom w:w="0" w:type="dxa"/>
            </w:tcMar>
            <w:vAlign w:val="center"/>
          </w:tcPr>
          <w:p w:rsidR="00E4472F" w:rsidRDefault="00000000">
            <w:pPr>
              <w:keepNext/>
              <w:keepLines/>
              <w:spacing w:after="0" w:line="240" w:lineRule="auto"/>
              <w:jc w:val="right"/>
            </w:pPr>
            <w:r>
              <w:rPr>
                <w:sz w:val="18"/>
              </w:rPr>
              <w:t>97,4</w:t>
            </w:r>
          </w:p>
        </w:tc>
      </w:tr>
    </w:tbl>
    <w:p w:rsidR="00E4472F" w:rsidRDefault="00E4472F">
      <w:pPr>
        <w:spacing w:after="0"/>
      </w:pPr>
    </w:p>
    <w:p w:rsidR="00E4472F" w:rsidRDefault="00000000">
      <w:pPr>
        <w:jc w:val="both"/>
      </w:pPr>
      <w:r>
        <w:t xml:space="preserve">Obveze za </w:t>
      </w:r>
      <w:proofErr w:type="spellStart"/>
      <w:r>
        <w:t>jamčevne</w:t>
      </w:r>
      <w:proofErr w:type="spellEnd"/>
      <w:r>
        <w:t xml:space="preserve"> </w:t>
      </w:r>
      <w:proofErr w:type="spellStart"/>
      <w:r>
        <w:t>pologe</w:t>
      </w:r>
      <w:proofErr w:type="spellEnd"/>
      <w:r>
        <w:t xml:space="preserve"> (konto 27212) na dan 31. prosinca 2025. godine iznose 199.826,13 EUR, što predstavlja smanjenje od 2,6 % u odnosu na 2024. godinu, kada su iznosile 205.167,04 EUR. Promjena se odnosi na povrate dijela </w:t>
      </w:r>
      <w:proofErr w:type="spellStart"/>
      <w:r>
        <w:t>jamčevnih</w:t>
      </w:r>
      <w:proofErr w:type="spellEnd"/>
      <w:r>
        <w:t xml:space="preserve"> pologa u izvještajnom razdoblju.</w:t>
      </w:r>
    </w:p>
    <w:p w:rsidR="00E4472F" w:rsidRDefault="00E4472F"/>
    <w:p w:rsidR="00E4472F" w:rsidRDefault="00000000">
      <w:pPr>
        <w:keepNext/>
        <w:spacing w:line="240" w:lineRule="auto"/>
        <w:jc w:val="center"/>
      </w:pPr>
      <w:r>
        <w:rPr>
          <w:sz w:val="28"/>
        </w:rPr>
        <w:t>Bilješka 151.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27511</w:t>
            </w:r>
          </w:p>
        </w:tc>
        <w:tc>
          <w:tcPr>
            <w:tcW w:w="3180" w:type="dxa"/>
            <w:tcMar>
              <w:top w:w="0" w:type="dxa"/>
              <w:bottom w:w="0" w:type="dxa"/>
            </w:tcMar>
            <w:vAlign w:val="center"/>
          </w:tcPr>
          <w:p w:rsidR="00E4472F" w:rsidRDefault="00000000">
            <w:pPr>
              <w:keepNext/>
              <w:keepLines/>
              <w:spacing w:after="0" w:line="240" w:lineRule="auto"/>
            </w:pPr>
            <w:r>
              <w:rPr>
                <w:sz w:val="18"/>
              </w:rPr>
              <w:t>Obveze za EU predujmove dane od institucija i tijela EU</w:t>
            </w:r>
          </w:p>
        </w:tc>
        <w:tc>
          <w:tcPr>
            <w:tcW w:w="700" w:type="dxa"/>
            <w:tcMar>
              <w:top w:w="0" w:type="dxa"/>
              <w:bottom w:w="0" w:type="dxa"/>
            </w:tcMar>
            <w:vAlign w:val="center"/>
          </w:tcPr>
          <w:p w:rsidR="00E4472F" w:rsidRDefault="00000000">
            <w:pPr>
              <w:keepNext/>
              <w:keepLines/>
              <w:spacing w:after="0" w:line="240" w:lineRule="auto"/>
            </w:pPr>
            <w:r>
              <w:rPr>
                <w:sz w:val="18"/>
              </w:rPr>
              <w:t>27511</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153.516,93</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pPr>
        <w:jc w:val="both"/>
      </w:pPr>
      <w:r>
        <w:lastRenderedPageBreak/>
        <w:t>Obveze za EU predujmove dane od institucija i tijela Europske unije (konto 27511) na dan 31. prosinca 2025. godine iznose 153.516,93 EUR, dok u 2024. godini po navedenoj osnovi nije bilo iskazanih obveza. Navedene obveze odnose se na primljene predujmove u okviru provedbe projekata financiranih iz fondova Europske unije, koji će se razduživati sukladno dinamici prihvatljivih troškova.</w:t>
      </w:r>
    </w:p>
    <w:p w:rsidR="00E4472F" w:rsidRDefault="00E4472F"/>
    <w:p w:rsidR="00E4472F" w:rsidRDefault="00000000">
      <w:pPr>
        <w:keepNext/>
        <w:spacing w:line="240" w:lineRule="auto"/>
        <w:jc w:val="center"/>
      </w:pPr>
      <w:r>
        <w:rPr>
          <w:sz w:val="28"/>
        </w:rPr>
        <w:t>Bilješka 152.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99611</w:t>
            </w:r>
          </w:p>
        </w:tc>
        <w:tc>
          <w:tcPr>
            <w:tcW w:w="3180" w:type="dxa"/>
            <w:tcMar>
              <w:top w:w="0" w:type="dxa"/>
              <w:bottom w:w="0" w:type="dxa"/>
            </w:tcMar>
            <w:vAlign w:val="center"/>
          </w:tcPr>
          <w:p w:rsidR="00E4472F" w:rsidRDefault="00000000">
            <w:pPr>
              <w:keepNext/>
              <w:keepLines/>
              <w:spacing w:after="0" w:line="240" w:lineRule="auto"/>
            </w:pPr>
            <w:r>
              <w:rPr>
                <w:sz w:val="18"/>
              </w:rPr>
              <w:t>Tuđa imovina dobivena na korištenje</w:t>
            </w:r>
          </w:p>
        </w:tc>
        <w:tc>
          <w:tcPr>
            <w:tcW w:w="700" w:type="dxa"/>
            <w:tcMar>
              <w:top w:w="0" w:type="dxa"/>
              <w:bottom w:w="0" w:type="dxa"/>
            </w:tcMar>
            <w:vAlign w:val="center"/>
          </w:tcPr>
          <w:p w:rsidR="00E4472F" w:rsidRDefault="00000000">
            <w:pPr>
              <w:keepNext/>
              <w:keepLines/>
              <w:spacing w:after="0" w:line="240" w:lineRule="auto"/>
            </w:pPr>
            <w:r>
              <w:rPr>
                <w:sz w:val="18"/>
              </w:rPr>
              <w:t>99611</w:t>
            </w:r>
          </w:p>
        </w:tc>
        <w:tc>
          <w:tcPr>
            <w:tcW w:w="1860" w:type="dxa"/>
            <w:tcMar>
              <w:top w:w="0" w:type="dxa"/>
              <w:bottom w:w="0" w:type="dxa"/>
            </w:tcMar>
            <w:vAlign w:val="center"/>
          </w:tcPr>
          <w:p w:rsidR="00E4472F" w:rsidRDefault="00000000">
            <w:pPr>
              <w:keepNext/>
              <w:keepLines/>
              <w:spacing w:after="0" w:line="240" w:lineRule="auto"/>
              <w:jc w:val="right"/>
            </w:pPr>
            <w:r>
              <w:rPr>
                <w:sz w:val="18"/>
              </w:rPr>
              <w:t>30.140.771,89</w:t>
            </w:r>
          </w:p>
        </w:tc>
        <w:tc>
          <w:tcPr>
            <w:tcW w:w="1860" w:type="dxa"/>
            <w:tcMar>
              <w:top w:w="0" w:type="dxa"/>
              <w:bottom w:w="0" w:type="dxa"/>
            </w:tcMar>
            <w:vAlign w:val="center"/>
          </w:tcPr>
          <w:p w:rsidR="00E4472F" w:rsidRDefault="00000000">
            <w:pPr>
              <w:keepNext/>
              <w:keepLines/>
              <w:spacing w:after="0" w:line="240" w:lineRule="auto"/>
              <w:jc w:val="right"/>
            </w:pPr>
            <w:r>
              <w:rPr>
                <w:sz w:val="18"/>
              </w:rPr>
              <w:t>36.457.523,04</w:t>
            </w:r>
          </w:p>
        </w:tc>
        <w:tc>
          <w:tcPr>
            <w:tcW w:w="700" w:type="dxa"/>
            <w:tcMar>
              <w:top w:w="0" w:type="dxa"/>
              <w:bottom w:w="0" w:type="dxa"/>
            </w:tcMar>
            <w:vAlign w:val="center"/>
          </w:tcPr>
          <w:p w:rsidR="00E4472F" w:rsidRDefault="00000000">
            <w:pPr>
              <w:keepNext/>
              <w:keepLines/>
              <w:spacing w:after="0" w:line="240" w:lineRule="auto"/>
              <w:jc w:val="right"/>
            </w:pPr>
            <w:r>
              <w:rPr>
                <w:sz w:val="18"/>
              </w:rPr>
              <w:t>121,0</w:t>
            </w:r>
          </w:p>
        </w:tc>
      </w:tr>
    </w:tbl>
    <w:p w:rsidR="00E4472F" w:rsidRDefault="00E4472F">
      <w:pPr>
        <w:spacing w:after="0"/>
      </w:pPr>
    </w:p>
    <w:p w:rsidR="00E4472F" w:rsidRDefault="00000000">
      <w:r>
        <w:t xml:space="preserve">Vrijednost tuđe imovine dobivene na korištenje (konto 99611) u 2025. godini iznosi 36.457.523,04 eura, što predstavlja povećanje od 21,0 % u odnosu na 2024. godinu, kada je iznosila 30.140.771,89 eura. Povećanje vrijednosti odnosi se na evidentiranje dodatne imovine dobivene na korištenje, koja se u skladu s pravilima proračunskog računovodstva iskazuje u </w:t>
      </w:r>
      <w:proofErr w:type="spellStart"/>
      <w:r>
        <w:t>izvanbilančnoj</w:t>
      </w:r>
      <w:proofErr w:type="spellEnd"/>
      <w:r>
        <w:t xml:space="preserve"> evidenciji, budući da ne predstavlja vlasništvo Bolnice, a u 2025. je povećana najvećim dijelom za evidentiranu zgradu Mikrobiologije i opremu.</w:t>
      </w:r>
    </w:p>
    <w:p w:rsidR="00E4472F" w:rsidRDefault="00E4472F"/>
    <w:p w:rsidR="00E4472F" w:rsidRDefault="00000000">
      <w:pPr>
        <w:keepNext/>
        <w:spacing w:line="240" w:lineRule="auto"/>
        <w:jc w:val="center"/>
      </w:pPr>
      <w:r>
        <w:rPr>
          <w:sz w:val="28"/>
        </w:rPr>
        <w:t>Bilješka 153.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99641</w:t>
            </w:r>
          </w:p>
        </w:tc>
        <w:tc>
          <w:tcPr>
            <w:tcW w:w="3180" w:type="dxa"/>
            <w:tcMar>
              <w:top w:w="0" w:type="dxa"/>
              <w:bottom w:w="0" w:type="dxa"/>
            </w:tcMar>
            <w:vAlign w:val="center"/>
          </w:tcPr>
          <w:p w:rsidR="00E4472F" w:rsidRDefault="00000000">
            <w:pPr>
              <w:keepNext/>
              <w:keepLines/>
              <w:spacing w:after="0" w:line="240" w:lineRule="auto"/>
            </w:pPr>
            <w:r>
              <w:rPr>
                <w:sz w:val="18"/>
              </w:rPr>
              <w:t>Instrumenti osiguranja plaćanja</w:t>
            </w:r>
          </w:p>
        </w:tc>
        <w:tc>
          <w:tcPr>
            <w:tcW w:w="700" w:type="dxa"/>
            <w:tcMar>
              <w:top w:w="0" w:type="dxa"/>
              <w:bottom w:w="0" w:type="dxa"/>
            </w:tcMar>
            <w:vAlign w:val="center"/>
          </w:tcPr>
          <w:p w:rsidR="00E4472F" w:rsidRDefault="00000000">
            <w:pPr>
              <w:keepNext/>
              <w:keepLines/>
              <w:spacing w:after="0" w:line="240" w:lineRule="auto"/>
            </w:pPr>
            <w:r>
              <w:rPr>
                <w:sz w:val="18"/>
              </w:rPr>
              <w:t>99641</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1.270.961,16</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pPr>
        <w:jc w:val="both"/>
      </w:pPr>
      <w:r>
        <w:t xml:space="preserve">Na dan 31. prosinca 2025. godine u </w:t>
      </w:r>
      <w:proofErr w:type="spellStart"/>
      <w:r>
        <w:t>izvanbilančnoj</w:t>
      </w:r>
      <w:proofErr w:type="spellEnd"/>
      <w:r>
        <w:t xml:space="preserve"> evidenciji iskazana je vrijednost instrumenata osiguranja plaćanja (konto 99641) u iznosu od 1.270.961,16 EUR, dok u 2024. godini po navedenoj osnovi nije bilo iskazanog stanja. Navedeni iznos odnosi se na aktivne instrumente osiguranja plaćanja zaprimljene u svrhu osiguranja urednog izvršenja ugovornih obveza vezanih uz bankovne garancije, zadužnice i ostale instrumente osiguranja. </w:t>
      </w:r>
    </w:p>
    <w:p w:rsidR="00E4472F" w:rsidRDefault="00E4472F"/>
    <w:p w:rsidR="00E4472F" w:rsidRDefault="00000000">
      <w:pPr>
        <w:keepNext/>
        <w:spacing w:line="240" w:lineRule="auto"/>
        <w:jc w:val="center"/>
      </w:pPr>
      <w:r>
        <w:rPr>
          <w:sz w:val="28"/>
        </w:rPr>
        <w:t>Bilješka 154.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99651</w:t>
            </w:r>
          </w:p>
        </w:tc>
        <w:tc>
          <w:tcPr>
            <w:tcW w:w="3180" w:type="dxa"/>
            <w:tcMar>
              <w:top w:w="0" w:type="dxa"/>
              <w:bottom w:w="0" w:type="dxa"/>
            </w:tcMar>
            <w:vAlign w:val="center"/>
          </w:tcPr>
          <w:p w:rsidR="00E4472F" w:rsidRDefault="00000000">
            <w:pPr>
              <w:keepNext/>
              <w:keepLines/>
              <w:spacing w:after="0" w:line="240" w:lineRule="auto"/>
            </w:pPr>
            <w:r>
              <w:rPr>
                <w:sz w:val="18"/>
              </w:rPr>
              <w:t>Potencijalne obveze po osnovi sudskih sporova u tijeku</w:t>
            </w:r>
          </w:p>
        </w:tc>
        <w:tc>
          <w:tcPr>
            <w:tcW w:w="700" w:type="dxa"/>
            <w:tcMar>
              <w:top w:w="0" w:type="dxa"/>
              <w:bottom w:w="0" w:type="dxa"/>
            </w:tcMar>
            <w:vAlign w:val="center"/>
          </w:tcPr>
          <w:p w:rsidR="00E4472F" w:rsidRDefault="00000000">
            <w:pPr>
              <w:keepNext/>
              <w:keepLines/>
              <w:spacing w:after="0" w:line="240" w:lineRule="auto"/>
            </w:pPr>
            <w:r>
              <w:rPr>
                <w:sz w:val="18"/>
              </w:rPr>
              <w:t>99651</w:t>
            </w:r>
          </w:p>
        </w:tc>
        <w:tc>
          <w:tcPr>
            <w:tcW w:w="1860" w:type="dxa"/>
            <w:tcMar>
              <w:top w:w="0" w:type="dxa"/>
              <w:bottom w:w="0" w:type="dxa"/>
            </w:tcMar>
            <w:vAlign w:val="center"/>
          </w:tcPr>
          <w:p w:rsidR="00E4472F" w:rsidRDefault="00000000">
            <w:pPr>
              <w:keepNext/>
              <w:keepLines/>
              <w:spacing w:after="0" w:line="240" w:lineRule="auto"/>
              <w:jc w:val="right"/>
            </w:pPr>
            <w:r>
              <w:rPr>
                <w:sz w:val="18"/>
              </w:rPr>
              <w:t>1.188.494,02</w:t>
            </w:r>
          </w:p>
        </w:tc>
        <w:tc>
          <w:tcPr>
            <w:tcW w:w="1860" w:type="dxa"/>
            <w:tcMar>
              <w:top w:w="0" w:type="dxa"/>
              <w:bottom w:w="0" w:type="dxa"/>
            </w:tcMar>
            <w:vAlign w:val="center"/>
          </w:tcPr>
          <w:p w:rsidR="00E4472F" w:rsidRDefault="00000000">
            <w:pPr>
              <w:keepNext/>
              <w:keepLines/>
              <w:spacing w:after="0" w:line="240" w:lineRule="auto"/>
              <w:jc w:val="right"/>
            </w:pPr>
            <w:r>
              <w:rPr>
                <w:sz w:val="18"/>
              </w:rPr>
              <w:t>4.941.574,49</w:t>
            </w:r>
          </w:p>
        </w:tc>
        <w:tc>
          <w:tcPr>
            <w:tcW w:w="700" w:type="dxa"/>
            <w:tcMar>
              <w:top w:w="0" w:type="dxa"/>
              <w:bottom w:w="0" w:type="dxa"/>
            </w:tcMar>
            <w:vAlign w:val="center"/>
          </w:tcPr>
          <w:p w:rsidR="00E4472F" w:rsidRDefault="00000000">
            <w:pPr>
              <w:keepNext/>
              <w:keepLines/>
              <w:spacing w:after="0" w:line="240" w:lineRule="auto"/>
              <w:jc w:val="right"/>
            </w:pPr>
            <w:r>
              <w:rPr>
                <w:sz w:val="18"/>
              </w:rPr>
              <w:t>415,8</w:t>
            </w:r>
          </w:p>
        </w:tc>
      </w:tr>
    </w:tbl>
    <w:p w:rsidR="00E4472F" w:rsidRDefault="00E4472F">
      <w:pPr>
        <w:spacing w:after="0"/>
      </w:pPr>
    </w:p>
    <w:p w:rsidR="00E4472F" w:rsidRDefault="00000000">
      <w:pPr>
        <w:jc w:val="both"/>
      </w:pPr>
      <w:r>
        <w:t xml:space="preserve">Vrijednost potencijalnih obveza po osnovi sudskih sporova u tijeku (konto 99651) na dan 31. prosinca 2025. godine iznosi 4.941.574,49 eura, što predstavlja povećanje od 415,8 % u </w:t>
      </w:r>
      <w:r>
        <w:lastRenderedPageBreak/>
        <w:t xml:space="preserve">odnosu na 31. prosinca 2024. godine, kada je iznosila 1.188.494,02 eura. Navedene obveze evidentirane su u </w:t>
      </w:r>
      <w:proofErr w:type="spellStart"/>
      <w:r>
        <w:t>izvanbilančnoj</w:t>
      </w:r>
      <w:proofErr w:type="spellEnd"/>
      <w:r>
        <w:t xml:space="preserve"> evidenciji u skladu s pravilima proračunskog računovodstva te se odnose na procijenjene iznose obveza po sudskim sporovima koji su u tijeku, a čiji ishod i konačni financijski učinak u trenutku sastavljanja izvještaja nisu izvjesni.</w:t>
      </w:r>
    </w:p>
    <w:p w:rsidR="00E4472F" w:rsidRDefault="00E4472F"/>
    <w:p w:rsidR="00E4472F" w:rsidRDefault="00000000">
      <w:pPr>
        <w:keepNext/>
        <w:spacing w:line="240" w:lineRule="auto"/>
        <w:jc w:val="center"/>
      </w:pPr>
      <w:r>
        <w:rPr>
          <w:sz w:val="28"/>
        </w:rPr>
        <w:t>Bilješka 155.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99671</w:t>
            </w:r>
          </w:p>
        </w:tc>
        <w:tc>
          <w:tcPr>
            <w:tcW w:w="3180" w:type="dxa"/>
            <w:tcMar>
              <w:top w:w="0" w:type="dxa"/>
              <w:bottom w:w="0" w:type="dxa"/>
            </w:tcMar>
            <w:vAlign w:val="center"/>
          </w:tcPr>
          <w:p w:rsidR="00E4472F" w:rsidRDefault="00000000">
            <w:pPr>
              <w:keepNext/>
              <w:keepLines/>
              <w:spacing w:after="0" w:line="240" w:lineRule="auto"/>
            </w:pPr>
            <w:r>
              <w:rPr>
                <w:sz w:val="18"/>
              </w:rPr>
              <w:t>Potraživanja po ugovorima o dodijeljenim bespovratnim sredstvima iz EU fondova</w:t>
            </w:r>
          </w:p>
        </w:tc>
        <w:tc>
          <w:tcPr>
            <w:tcW w:w="700" w:type="dxa"/>
            <w:tcMar>
              <w:top w:w="0" w:type="dxa"/>
              <w:bottom w:w="0" w:type="dxa"/>
            </w:tcMar>
            <w:vAlign w:val="center"/>
          </w:tcPr>
          <w:p w:rsidR="00E4472F" w:rsidRDefault="00000000">
            <w:pPr>
              <w:keepNext/>
              <w:keepLines/>
              <w:spacing w:after="0" w:line="240" w:lineRule="auto"/>
            </w:pPr>
            <w:r>
              <w:rPr>
                <w:sz w:val="18"/>
              </w:rPr>
              <w:t>99671</w:t>
            </w:r>
          </w:p>
        </w:tc>
        <w:tc>
          <w:tcPr>
            <w:tcW w:w="1860" w:type="dxa"/>
            <w:tcMar>
              <w:top w:w="0" w:type="dxa"/>
              <w:bottom w:w="0" w:type="dxa"/>
            </w:tcMar>
            <w:vAlign w:val="center"/>
          </w:tcPr>
          <w:p w:rsidR="00E4472F" w:rsidRDefault="00000000">
            <w:pPr>
              <w:keepNext/>
              <w:keepLines/>
              <w:spacing w:after="0" w:line="240" w:lineRule="auto"/>
              <w:jc w:val="right"/>
            </w:pPr>
            <w:r>
              <w:rPr>
                <w:sz w:val="18"/>
              </w:rPr>
              <w:t>0,00</w:t>
            </w:r>
          </w:p>
        </w:tc>
        <w:tc>
          <w:tcPr>
            <w:tcW w:w="1860" w:type="dxa"/>
            <w:tcMar>
              <w:top w:w="0" w:type="dxa"/>
              <w:bottom w:w="0" w:type="dxa"/>
            </w:tcMar>
            <w:vAlign w:val="center"/>
          </w:tcPr>
          <w:p w:rsidR="00E4472F" w:rsidRDefault="00000000">
            <w:pPr>
              <w:keepNext/>
              <w:keepLines/>
              <w:spacing w:after="0" w:line="240" w:lineRule="auto"/>
              <w:jc w:val="right"/>
            </w:pPr>
            <w:r>
              <w:rPr>
                <w:sz w:val="18"/>
              </w:rPr>
              <w:t>447.564,57</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pPr>
        <w:jc w:val="both"/>
      </w:pPr>
      <w:r>
        <w:t xml:space="preserve">Na dan 31. prosinca 2025. godine u </w:t>
      </w:r>
      <w:proofErr w:type="spellStart"/>
      <w:r>
        <w:t>izvanbilančnoj</w:t>
      </w:r>
      <w:proofErr w:type="spellEnd"/>
      <w:r>
        <w:t xml:space="preserve"> evidenciji iskazana su potraživanja po ugovorima o dodijeljenim bespovratnim sredstvima iz fondova Europske unije (konto 99671) u iznosu od 447.564,57 EUR, dok u 2024. godini po navedenoj osnovi nije bilo iskazanih iznosa. Navedena potraživanja odnose se na odobrena, ali još nenaplaćena sredstva po ugovorima o financiranju EU projekata te su evidentirana sukladno pravilima proračunskog računovodstva u </w:t>
      </w:r>
      <w:proofErr w:type="spellStart"/>
      <w:r>
        <w:t>izvanbilančnoj</w:t>
      </w:r>
      <w:proofErr w:type="spellEnd"/>
      <w:r>
        <w:t xml:space="preserve"> evidenciji.</w:t>
      </w:r>
    </w:p>
    <w:p w:rsidR="00E4472F" w:rsidRDefault="00E4472F"/>
    <w:p w:rsidR="00E4472F" w:rsidRDefault="00000000">
      <w:pPr>
        <w:keepNext/>
        <w:spacing w:line="240" w:lineRule="auto"/>
        <w:jc w:val="center"/>
      </w:pPr>
      <w:r>
        <w:rPr>
          <w:sz w:val="28"/>
        </w:rPr>
        <w:t>Bilješka 156.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99691</w:t>
            </w:r>
          </w:p>
        </w:tc>
        <w:tc>
          <w:tcPr>
            <w:tcW w:w="3180" w:type="dxa"/>
            <w:tcMar>
              <w:top w:w="0" w:type="dxa"/>
              <w:bottom w:w="0" w:type="dxa"/>
            </w:tcMar>
            <w:vAlign w:val="center"/>
          </w:tcPr>
          <w:p w:rsidR="00E4472F" w:rsidRDefault="00000000">
            <w:pPr>
              <w:keepNext/>
              <w:keepLines/>
              <w:spacing w:after="0" w:line="240" w:lineRule="auto"/>
            </w:pPr>
            <w:r>
              <w:rPr>
                <w:sz w:val="18"/>
              </w:rPr>
              <w:t xml:space="preserve">Ostali </w:t>
            </w:r>
            <w:proofErr w:type="spellStart"/>
            <w:r>
              <w:rPr>
                <w:sz w:val="18"/>
              </w:rPr>
              <w:t>izvanbilančni</w:t>
            </w:r>
            <w:proofErr w:type="spellEnd"/>
            <w:r>
              <w:rPr>
                <w:sz w:val="18"/>
              </w:rPr>
              <w:t xml:space="preserve"> zapisi</w:t>
            </w:r>
          </w:p>
        </w:tc>
        <w:tc>
          <w:tcPr>
            <w:tcW w:w="700" w:type="dxa"/>
            <w:tcMar>
              <w:top w:w="0" w:type="dxa"/>
              <w:bottom w:w="0" w:type="dxa"/>
            </w:tcMar>
            <w:vAlign w:val="center"/>
          </w:tcPr>
          <w:p w:rsidR="00E4472F" w:rsidRDefault="00000000">
            <w:pPr>
              <w:keepNext/>
              <w:keepLines/>
              <w:spacing w:after="0" w:line="240" w:lineRule="auto"/>
            </w:pPr>
            <w:r>
              <w:rPr>
                <w:sz w:val="18"/>
              </w:rPr>
              <w:t>99691</w:t>
            </w:r>
          </w:p>
        </w:tc>
        <w:tc>
          <w:tcPr>
            <w:tcW w:w="1860" w:type="dxa"/>
            <w:tcMar>
              <w:top w:w="0" w:type="dxa"/>
              <w:bottom w:w="0" w:type="dxa"/>
            </w:tcMar>
            <w:vAlign w:val="center"/>
          </w:tcPr>
          <w:p w:rsidR="00E4472F" w:rsidRDefault="00000000">
            <w:pPr>
              <w:keepNext/>
              <w:keepLines/>
              <w:spacing w:after="0" w:line="240" w:lineRule="auto"/>
              <w:jc w:val="right"/>
            </w:pPr>
            <w:r>
              <w:rPr>
                <w:sz w:val="18"/>
              </w:rPr>
              <w:t>225.490,13</w:t>
            </w:r>
          </w:p>
        </w:tc>
        <w:tc>
          <w:tcPr>
            <w:tcW w:w="1860" w:type="dxa"/>
            <w:tcMar>
              <w:top w:w="0" w:type="dxa"/>
              <w:bottom w:w="0" w:type="dxa"/>
            </w:tcMar>
            <w:vAlign w:val="center"/>
          </w:tcPr>
          <w:p w:rsidR="00E4472F" w:rsidRDefault="00000000">
            <w:pPr>
              <w:keepNext/>
              <w:keepLines/>
              <w:spacing w:after="0" w:line="240" w:lineRule="auto"/>
              <w:jc w:val="right"/>
            </w:pPr>
            <w:r>
              <w:rPr>
                <w:sz w:val="18"/>
              </w:rPr>
              <w:t>16.548,40</w:t>
            </w:r>
          </w:p>
        </w:tc>
        <w:tc>
          <w:tcPr>
            <w:tcW w:w="700" w:type="dxa"/>
            <w:tcMar>
              <w:top w:w="0" w:type="dxa"/>
              <w:bottom w:w="0" w:type="dxa"/>
            </w:tcMar>
            <w:vAlign w:val="center"/>
          </w:tcPr>
          <w:p w:rsidR="00E4472F" w:rsidRDefault="00000000">
            <w:pPr>
              <w:keepNext/>
              <w:keepLines/>
              <w:spacing w:after="0" w:line="240" w:lineRule="auto"/>
              <w:jc w:val="right"/>
            </w:pPr>
            <w:r>
              <w:rPr>
                <w:sz w:val="18"/>
              </w:rPr>
              <w:t>7,3</w:t>
            </w:r>
          </w:p>
        </w:tc>
      </w:tr>
    </w:tbl>
    <w:p w:rsidR="00E4472F" w:rsidRDefault="00E4472F">
      <w:pPr>
        <w:spacing w:after="0"/>
      </w:pPr>
    </w:p>
    <w:p w:rsidR="00E4472F" w:rsidRDefault="00000000">
      <w:pPr>
        <w:jc w:val="both"/>
      </w:pPr>
      <w:r>
        <w:t xml:space="preserve">Ostali </w:t>
      </w:r>
      <w:proofErr w:type="spellStart"/>
      <w:r>
        <w:t>izvanbilančni</w:t>
      </w:r>
      <w:proofErr w:type="spellEnd"/>
      <w:r>
        <w:t xml:space="preserve"> zapisi (konto 99691) na dan 31. prosinca 2025. godine iznose 16.548,40 EUR, što predstavlja smanjenje u odnosu na 2024. godinu, kada su iznosili 225.490,13 EUR. Smanjenje navedenih </w:t>
      </w:r>
      <w:proofErr w:type="spellStart"/>
      <w:r>
        <w:t>izvanbilančnih</w:t>
      </w:r>
      <w:proofErr w:type="spellEnd"/>
      <w:r>
        <w:t xml:space="preserve"> zapisa odnosi se na zatvaranje dijela ranije evidentiranih </w:t>
      </w:r>
      <w:proofErr w:type="spellStart"/>
      <w:r>
        <w:t>izvanbilančnih</w:t>
      </w:r>
      <w:proofErr w:type="spellEnd"/>
      <w:r>
        <w:t xml:space="preserve"> stavki u izvještajnom razdoblju.</w:t>
      </w:r>
    </w:p>
    <w:p w:rsidR="00E4472F" w:rsidRDefault="00E4472F"/>
    <w:p w:rsidR="00E4472F" w:rsidRDefault="00000000">
      <w:pPr>
        <w:keepNext/>
        <w:spacing w:line="240" w:lineRule="auto"/>
        <w:jc w:val="center"/>
      </w:pPr>
      <w:r>
        <w:rPr>
          <w:b/>
          <w:sz w:val="28"/>
        </w:rPr>
        <w:t>Promjene u vrijednosti i obujmu imovine i obveza</w:t>
      </w:r>
    </w:p>
    <w:p w:rsidR="00E4472F" w:rsidRDefault="00000000">
      <w:pPr>
        <w:keepNext/>
        <w:spacing w:line="240" w:lineRule="auto"/>
        <w:jc w:val="center"/>
      </w:pPr>
      <w:r>
        <w:rPr>
          <w:sz w:val="28"/>
        </w:rPr>
        <w:t>Bilješka 157.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Iznos povećanja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Iznos smanjenja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9151</w:t>
            </w:r>
          </w:p>
        </w:tc>
        <w:tc>
          <w:tcPr>
            <w:tcW w:w="3180" w:type="dxa"/>
            <w:tcMar>
              <w:top w:w="0" w:type="dxa"/>
              <w:bottom w:w="0" w:type="dxa"/>
            </w:tcMar>
            <w:vAlign w:val="center"/>
          </w:tcPr>
          <w:p w:rsidR="00E4472F" w:rsidRDefault="00000000">
            <w:pPr>
              <w:keepNext/>
              <w:keepLines/>
              <w:spacing w:after="0" w:line="240" w:lineRule="auto"/>
            </w:pPr>
            <w:r>
              <w:rPr>
                <w:sz w:val="18"/>
              </w:rPr>
              <w:t>Promjene u vrijednosti i obujmu imovine (šifre 91511+91512)</w:t>
            </w:r>
          </w:p>
        </w:tc>
        <w:tc>
          <w:tcPr>
            <w:tcW w:w="700" w:type="dxa"/>
            <w:tcMar>
              <w:top w:w="0" w:type="dxa"/>
              <w:bottom w:w="0" w:type="dxa"/>
            </w:tcMar>
            <w:vAlign w:val="center"/>
          </w:tcPr>
          <w:p w:rsidR="00E4472F" w:rsidRDefault="00000000">
            <w:pPr>
              <w:keepNext/>
              <w:keepLines/>
              <w:spacing w:after="0" w:line="240" w:lineRule="auto"/>
            </w:pPr>
            <w:r>
              <w:rPr>
                <w:sz w:val="18"/>
              </w:rPr>
              <w:t>9151</w:t>
            </w:r>
          </w:p>
        </w:tc>
        <w:tc>
          <w:tcPr>
            <w:tcW w:w="1860" w:type="dxa"/>
            <w:tcMar>
              <w:top w:w="0" w:type="dxa"/>
              <w:bottom w:w="0" w:type="dxa"/>
            </w:tcMar>
            <w:vAlign w:val="center"/>
          </w:tcPr>
          <w:p w:rsidR="00E4472F" w:rsidRDefault="00000000">
            <w:pPr>
              <w:keepNext/>
              <w:keepLines/>
              <w:spacing w:after="0" w:line="240" w:lineRule="auto"/>
              <w:jc w:val="right"/>
            </w:pPr>
            <w:r>
              <w:rPr>
                <w:sz w:val="18"/>
              </w:rPr>
              <w:t>4.952.146,67</w:t>
            </w:r>
          </w:p>
        </w:tc>
        <w:tc>
          <w:tcPr>
            <w:tcW w:w="1860" w:type="dxa"/>
            <w:tcMar>
              <w:top w:w="0" w:type="dxa"/>
              <w:bottom w:w="0" w:type="dxa"/>
            </w:tcMar>
            <w:vAlign w:val="center"/>
          </w:tcPr>
          <w:p w:rsidR="00E4472F" w:rsidRDefault="00000000">
            <w:pPr>
              <w:keepNext/>
              <w:keepLines/>
              <w:spacing w:after="0" w:line="240" w:lineRule="auto"/>
              <w:jc w:val="right"/>
            </w:pPr>
            <w:r>
              <w:rPr>
                <w:sz w:val="18"/>
              </w:rPr>
              <w:t>4.952.146,67</w:t>
            </w:r>
          </w:p>
        </w:tc>
        <w:tc>
          <w:tcPr>
            <w:tcW w:w="700" w:type="dxa"/>
            <w:tcMar>
              <w:top w:w="0" w:type="dxa"/>
              <w:bottom w:w="0" w:type="dxa"/>
            </w:tcMar>
            <w:vAlign w:val="center"/>
          </w:tcPr>
          <w:p w:rsidR="00E4472F" w:rsidRDefault="00000000">
            <w:pPr>
              <w:keepNext/>
              <w:keepLines/>
              <w:spacing w:after="0" w:line="240" w:lineRule="auto"/>
              <w:jc w:val="right"/>
            </w:pPr>
            <w:r>
              <w:rPr>
                <w:sz w:val="18"/>
              </w:rPr>
              <w:t>100</w:t>
            </w:r>
          </w:p>
        </w:tc>
      </w:tr>
    </w:tbl>
    <w:p w:rsidR="00E4472F" w:rsidRDefault="00E4472F">
      <w:pPr>
        <w:spacing w:after="0"/>
      </w:pPr>
    </w:p>
    <w:p w:rsidR="00E4472F" w:rsidRDefault="00000000">
      <w:pPr>
        <w:jc w:val="both"/>
      </w:pPr>
      <w:r>
        <w:t xml:space="preserve">Promjene u vrijednosti i obujmu imovine (konto 9151) u 2025. godini iznose 4.952.146,67 EUR . Navedene promjene obuhvaćaju promjene u vrijednosti imovine, iskazane na kontu 91511, u iznosu od 22.100,11 EUR, koje se odnose na usklađenja vrijednosti imovine </w:t>
      </w:r>
      <w:r>
        <w:lastRenderedPageBreak/>
        <w:t>evidentirana u skladu s propisanim računovodstvenim postupcima. Preostali dio promjena odnosi se na promjene u obujmu imovine, evidentirane temeljem povećanja ili smanjenja imovine uslijed evidentiranja, prijenosa ili drugih promjena u strukturi imovine u izvještajnom razdoblju.</w:t>
      </w:r>
    </w:p>
    <w:p w:rsidR="00E4472F" w:rsidRDefault="00E4472F"/>
    <w:p w:rsidR="00E4472F" w:rsidRDefault="00000000">
      <w:pPr>
        <w:keepNext/>
        <w:spacing w:line="240" w:lineRule="auto"/>
        <w:jc w:val="center"/>
      </w:pPr>
      <w:r>
        <w:rPr>
          <w:sz w:val="28"/>
        </w:rPr>
        <w:t>Bilješka 158.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Iznos povećanja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Iznos smanjenja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91512</w:t>
            </w:r>
          </w:p>
        </w:tc>
        <w:tc>
          <w:tcPr>
            <w:tcW w:w="3180" w:type="dxa"/>
            <w:tcMar>
              <w:top w:w="0" w:type="dxa"/>
              <w:bottom w:w="0" w:type="dxa"/>
            </w:tcMar>
            <w:vAlign w:val="center"/>
          </w:tcPr>
          <w:p w:rsidR="00E4472F" w:rsidRDefault="00000000">
            <w:pPr>
              <w:keepNext/>
              <w:keepLines/>
              <w:spacing w:after="0" w:line="240" w:lineRule="auto"/>
            </w:pPr>
            <w:r>
              <w:rPr>
                <w:sz w:val="18"/>
              </w:rPr>
              <w:t>Promjene u obujmu imovine (šifre P016+P023)</w:t>
            </w:r>
          </w:p>
        </w:tc>
        <w:tc>
          <w:tcPr>
            <w:tcW w:w="700" w:type="dxa"/>
            <w:tcMar>
              <w:top w:w="0" w:type="dxa"/>
              <w:bottom w:w="0" w:type="dxa"/>
            </w:tcMar>
            <w:vAlign w:val="center"/>
          </w:tcPr>
          <w:p w:rsidR="00E4472F" w:rsidRDefault="00000000">
            <w:pPr>
              <w:keepNext/>
              <w:keepLines/>
              <w:spacing w:after="0" w:line="240" w:lineRule="auto"/>
            </w:pPr>
            <w:r>
              <w:rPr>
                <w:sz w:val="18"/>
              </w:rPr>
              <w:t>91512</w:t>
            </w:r>
          </w:p>
        </w:tc>
        <w:tc>
          <w:tcPr>
            <w:tcW w:w="1860" w:type="dxa"/>
            <w:tcMar>
              <w:top w:w="0" w:type="dxa"/>
              <w:bottom w:w="0" w:type="dxa"/>
            </w:tcMar>
            <w:vAlign w:val="center"/>
          </w:tcPr>
          <w:p w:rsidR="00E4472F" w:rsidRDefault="00000000">
            <w:pPr>
              <w:keepNext/>
              <w:keepLines/>
              <w:spacing w:after="0" w:line="240" w:lineRule="auto"/>
              <w:jc w:val="right"/>
            </w:pPr>
            <w:r>
              <w:rPr>
                <w:sz w:val="18"/>
              </w:rPr>
              <w:t>4.930.046,56</w:t>
            </w:r>
          </w:p>
        </w:tc>
        <w:tc>
          <w:tcPr>
            <w:tcW w:w="1860" w:type="dxa"/>
            <w:tcMar>
              <w:top w:w="0" w:type="dxa"/>
              <w:bottom w:w="0" w:type="dxa"/>
            </w:tcMar>
            <w:vAlign w:val="center"/>
          </w:tcPr>
          <w:p w:rsidR="00E4472F" w:rsidRDefault="00000000">
            <w:pPr>
              <w:keepNext/>
              <w:keepLines/>
              <w:spacing w:after="0" w:line="240" w:lineRule="auto"/>
              <w:jc w:val="right"/>
            </w:pPr>
            <w:r>
              <w:rPr>
                <w:sz w:val="18"/>
              </w:rPr>
              <w:t>4.930.046,56</w:t>
            </w:r>
          </w:p>
        </w:tc>
        <w:tc>
          <w:tcPr>
            <w:tcW w:w="700" w:type="dxa"/>
            <w:tcMar>
              <w:top w:w="0" w:type="dxa"/>
              <w:bottom w:w="0" w:type="dxa"/>
            </w:tcMar>
            <w:vAlign w:val="center"/>
          </w:tcPr>
          <w:p w:rsidR="00E4472F" w:rsidRDefault="00000000">
            <w:pPr>
              <w:keepNext/>
              <w:keepLines/>
              <w:spacing w:after="0" w:line="240" w:lineRule="auto"/>
              <w:jc w:val="right"/>
            </w:pPr>
            <w:r>
              <w:rPr>
                <w:sz w:val="18"/>
              </w:rPr>
              <w:t>100</w:t>
            </w:r>
          </w:p>
        </w:tc>
      </w:tr>
    </w:tbl>
    <w:p w:rsidR="00E4472F" w:rsidRDefault="00E4472F">
      <w:pPr>
        <w:spacing w:after="0"/>
      </w:pPr>
    </w:p>
    <w:p w:rsidR="00E4472F" w:rsidRDefault="00000000">
      <w:pPr>
        <w:jc w:val="both"/>
      </w:pPr>
      <w:r>
        <w:t>Promjene u obujmu imovine (konto 91512) u 2025. godini iznose 4.930.046,56 EUR. Navedene promjene najvećim se dijelom odnose na promjene u obujmu nefinancijske imovine u iznosu od 4.856.386,48 EUR.</w:t>
      </w:r>
    </w:p>
    <w:p w:rsidR="00E4472F" w:rsidRDefault="00000000">
      <w:pPr>
        <w:jc w:val="both"/>
      </w:pPr>
      <w:r>
        <w:t xml:space="preserve">Unutar promjena u obujmu nefinancijske imovine, najveći dio odnosi se na povećanje proizvedene dugotrajne imovine (P018) u iznosu od 4.180.660,39 EUR, koje proizlazi iz naknadnog evidentiranja i povećanja vrijednosti dugotrajne imovine koja se odnosi na zgradu mikrobiologije i opremu, kao i na povećanje proizvedene kratkotrajne imovine (P022) u iznosu od 675.726,09 EUR vezano uz donaciju krvi i </w:t>
      </w:r>
      <w:proofErr w:type="spellStart"/>
      <w:r>
        <w:t>klrvne</w:t>
      </w:r>
      <w:proofErr w:type="spellEnd"/>
      <w:r>
        <w:t xml:space="preserve"> plazme od strane Hrvatskog transfuzijskog zavoda. Promjene u obujmu financijske imovine (P023) iznose 73.660,08 EUR te se odnose na otpis nenaplativih potraživanja za prihode poslovanja (P029), evidentirano sukladno propisanim računovodstvenim postupcima.</w:t>
      </w:r>
    </w:p>
    <w:p w:rsidR="00E4472F" w:rsidRDefault="00E4472F"/>
    <w:p w:rsidR="00E4472F" w:rsidRDefault="00000000">
      <w:pPr>
        <w:keepNext/>
        <w:spacing w:line="240" w:lineRule="auto"/>
        <w:jc w:val="center"/>
      </w:pPr>
      <w:r>
        <w:rPr>
          <w:sz w:val="28"/>
        </w:rPr>
        <w:t>Bilješka 159.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Iznos povećanja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Iznos smanjenja</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000000">
            <w:pPr>
              <w:keepNext/>
              <w:keepLines/>
              <w:spacing w:after="0" w:line="240" w:lineRule="auto"/>
            </w:pPr>
            <w:r>
              <w:rPr>
                <w:sz w:val="18"/>
              </w:rPr>
              <w:t>9152</w:t>
            </w:r>
          </w:p>
        </w:tc>
        <w:tc>
          <w:tcPr>
            <w:tcW w:w="3180" w:type="dxa"/>
            <w:tcMar>
              <w:top w:w="0" w:type="dxa"/>
              <w:bottom w:w="0" w:type="dxa"/>
            </w:tcMar>
            <w:vAlign w:val="center"/>
          </w:tcPr>
          <w:p w:rsidR="00E4472F" w:rsidRDefault="00000000">
            <w:pPr>
              <w:keepNext/>
              <w:keepLines/>
              <w:spacing w:after="0" w:line="240" w:lineRule="auto"/>
            </w:pPr>
            <w:r>
              <w:rPr>
                <w:sz w:val="18"/>
              </w:rPr>
              <w:t>Promjene u vrijednosti i obujmu obveza (šifre 91521+91522)</w:t>
            </w:r>
          </w:p>
        </w:tc>
        <w:tc>
          <w:tcPr>
            <w:tcW w:w="700" w:type="dxa"/>
            <w:tcMar>
              <w:top w:w="0" w:type="dxa"/>
              <w:bottom w:w="0" w:type="dxa"/>
            </w:tcMar>
            <w:vAlign w:val="center"/>
          </w:tcPr>
          <w:p w:rsidR="00E4472F" w:rsidRDefault="00000000">
            <w:pPr>
              <w:keepNext/>
              <w:keepLines/>
              <w:spacing w:after="0" w:line="240" w:lineRule="auto"/>
            </w:pPr>
            <w:r>
              <w:rPr>
                <w:sz w:val="18"/>
              </w:rPr>
              <w:t>9152</w:t>
            </w:r>
          </w:p>
        </w:tc>
        <w:tc>
          <w:tcPr>
            <w:tcW w:w="1860" w:type="dxa"/>
            <w:tcMar>
              <w:top w:w="0" w:type="dxa"/>
              <w:bottom w:w="0" w:type="dxa"/>
            </w:tcMar>
            <w:vAlign w:val="center"/>
          </w:tcPr>
          <w:p w:rsidR="00E4472F" w:rsidRDefault="00000000">
            <w:pPr>
              <w:keepNext/>
              <w:keepLines/>
              <w:spacing w:after="0" w:line="240" w:lineRule="auto"/>
              <w:jc w:val="right"/>
            </w:pPr>
            <w:r>
              <w:rPr>
                <w:sz w:val="18"/>
              </w:rPr>
              <w:t>10.735,70</w:t>
            </w:r>
          </w:p>
        </w:tc>
        <w:tc>
          <w:tcPr>
            <w:tcW w:w="1860" w:type="dxa"/>
            <w:tcMar>
              <w:top w:w="0" w:type="dxa"/>
              <w:bottom w:w="0" w:type="dxa"/>
            </w:tcMar>
            <w:vAlign w:val="center"/>
          </w:tcPr>
          <w:p w:rsidR="00E4472F" w:rsidRDefault="00000000">
            <w:pPr>
              <w:keepNext/>
              <w:keepLines/>
              <w:spacing w:after="0" w:line="240" w:lineRule="auto"/>
              <w:jc w:val="right"/>
            </w:pPr>
            <w:r>
              <w:rPr>
                <w:sz w:val="18"/>
              </w:rPr>
              <w:t>10.735,37</w:t>
            </w:r>
          </w:p>
        </w:tc>
        <w:tc>
          <w:tcPr>
            <w:tcW w:w="700" w:type="dxa"/>
            <w:tcMar>
              <w:top w:w="0" w:type="dxa"/>
              <w:bottom w:w="0" w:type="dxa"/>
            </w:tcMar>
            <w:vAlign w:val="center"/>
          </w:tcPr>
          <w:p w:rsidR="00E4472F" w:rsidRDefault="00000000">
            <w:pPr>
              <w:keepNext/>
              <w:keepLines/>
              <w:spacing w:after="0" w:line="240" w:lineRule="auto"/>
              <w:jc w:val="right"/>
            </w:pPr>
            <w:r>
              <w:rPr>
                <w:sz w:val="18"/>
              </w:rPr>
              <w:t>100,0</w:t>
            </w:r>
          </w:p>
        </w:tc>
      </w:tr>
    </w:tbl>
    <w:p w:rsidR="00E4472F" w:rsidRDefault="00E4472F">
      <w:pPr>
        <w:spacing w:after="0"/>
      </w:pPr>
    </w:p>
    <w:p w:rsidR="00E4472F" w:rsidRDefault="00000000" w:rsidP="008D2B18">
      <w:pPr>
        <w:jc w:val="both"/>
      </w:pPr>
      <w:r>
        <w:t>Promjene u vrijednosti i obujmu obveza (konto 9152) u 2025. godini iznose 10.735,37 EUR. Navedene promjene u cijelosti se odnose na promjene u vrijednosti obveza (konto 91521), a proizlaze iz otpisa vrijednosti obveza evidentiranih u poslovnim knjigama sukladno propisanim računovodstvenim postupcima.</w:t>
      </w:r>
    </w:p>
    <w:p w:rsidR="00E4472F" w:rsidRDefault="00000000">
      <w:pPr>
        <w:keepNext/>
        <w:spacing w:line="240" w:lineRule="auto"/>
        <w:jc w:val="center"/>
      </w:pPr>
      <w:r>
        <w:rPr>
          <w:b/>
          <w:sz w:val="28"/>
        </w:rPr>
        <w:lastRenderedPageBreak/>
        <w:t>Izvještaj o obvezama</w:t>
      </w:r>
    </w:p>
    <w:p w:rsidR="00E4472F" w:rsidRDefault="00000000">
      <w:pPr>
        <w:keepNext/>
        <w:spacing w:line="240" w:lineRule="auto"/>
        <w:jc w:val="center"/>
      </w:pPr>
      <w:r>
        <w:rPr>
          <w:sz w:val="28"/>
        </w:rPr>
        <w:t>Bilješka 160.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883"/>
        <w:gridCol w:w="4008"/>
        <w:gridCol w:w="882"/>
        <w:gridCol w:w="2345"/>
        <w:gridCol w:w="882"/>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E4472F">
            <w:pPr>
              <w:keepNext/>
              <w:keepLines/>
              <w:spacing w:after="0" w:line="240" w:lineRule="auto"/>
            </w:pPr>
          </w:p>
        </w:tc>
        <w:tc>
          <w:tcPr>
            <w:tcW w:w="3180" w:type="dxa"/>
            <w:tcMar>
              <w:top w:w="0" w:type="dxa"/>
              <w:bottom w:w="0" w:type="dxa"/>
            </w:tcMar>
            <w:vAlign w:val="center"/>
          </w:tcPr>
          <w:p w:rsidR="00E4472F" w:rsidRDefault="00000000">
            <w:pPr>
              <w:keepNext/>
              <w:keepLines/>
              <w:spacing w:after="0" w:line="240" w:lineRule="auto"/>
            </w:pPr>
            <w:r>
              <w:rPr>
                <w:sz w:val="18"/>
              </w:rPr>
              <w:t>Stanje obveza na kraju izvještajnog razdoblja (šifre V001+V002-V004) i (šifre V007+V009)</w:t>
            </w:r>
          </w:p>
        </w:tc>
        <w:tc>
          <w:tcPr>
            <w:tcW w:w="700" w:type="dxa"/>
            <w:tcMar>
              <w:top w:w="0" w:type="dxa"/>
              <w:bottom w:w="0" w:type="dxa"/>
            </w:tcMar>
            <w:vAlign w:val="center"/>
          </w:tcPr>
          <w:p w:rsidR="00E4472F" w:rsidRDefault="00000000">
            <w:pPr>
              <w:keepNext/>
              <w:keepLines/>
              <w:spacing w:after="0" w:line="240" w:lineRule="auto"/>
            </w:pPr>
            <w:r>
              <w:rPr>
                <w:sz w:val="18"/>
              </w:rPr>
              <w:t>V006</w:t>
            </w:r>
          </w:p>
        </w:tc>
        <w:tc>
          <w:tcPr>
            <w:tcW w:w="1860" w:type="dxa"/>
            <w:tcMar>
              <w:top w:w="0" w:type="dxa"/>
              <w:bottom w:w="0" w:type="dxa"/>
            </w:tcMar>
            <w:vAlign w:val="center"/>
          </w:tcPr>
          <w:p w:rsidR="00E4472F" w:rsidRDefault="00000000">
            <w:pPr>
              <w:keepNext/>
              <w:keepLines/>
              <w:spacing w:after="0" w:line="240" w:lineRule="auto"/>
              <w:jc w:val="right"/>
            </w:pPr>
            <w:r>
              <w:rPr>
                <w:sz w:val="18"/>
              </w:rPr>
              <w:t>58.774.654,21</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pPr>
        <w:jc w:val="both"/>
      </w:pPr>
      <w:r>
        <w:t>Na dan 31. prosinca 2025. knjigovodstveno su iskazane ukupne obveze Bolnice u iznosu od 58.774.654,21 eura što je u odnosu na iznos iskazan na dan 31. prosinca 2024., kada su obveze iznosile 53.414.596,07 eura, više za 5.360.058,14 eura. Najznačajniji porast se odnosi na novo stvorene obveze prema dobavljačima koje su veće za 4.863.030,91 eura, odnosno za 39%.</w:t>
      </w:r>
    </w:p>
    <w:p w:rsidR="00E4472F" w:rsidRDefault="00000000">
      <w:pPr>
        <w:jc w:val="both"/>
      </w:pPr>
      <w:r>
        <w:t>Ukupne obveze prema dobavljačima za isporučenu robu, materijal, usluge i opremu te ostalim vjerovnicima na dan 31.12.2025. godine iznose 58.774.654,21 €, a po vrstama kako slijedi:</w:t>
      </w:r>
    </w:p>
    <w:p w:rsidR="00E4472F" w:rsidRDefault="00000000">
      <w:pPr>
        <w:jc w:val="center"/>
      </w:pPr>
      <w:r>
        <w:t>-      za lijekove                                                                           8.227.724,33 €</w:t>
      </w:r>
    </w:p>
    <w:p w:rsidR="00E4472F" w:rsidRDefault="00000000">
      <w:pPr>
        <w:jc w:val="center"/>
      </w:pPr>
      <w:r>
        <w:t>-      za potrošni med. materijal, krv i krvne pripravke                  7.693.792,16 €</w:t>
      </w:r>
    </w:p>
    <w:p w:rsidR="00E4472F" w:rsidRDefault="00000000">
      <w:pPr>
        <w:jc w:val="center"/>
      </w:pPr>
      <w:r>
        <w:t>-      za namirnice                                                                           134.613,87 €</w:t>
      </w:r>
    </w:p>
    <w:p w:rsidR="00E4472F" w:rsidRDefault="00000000">
      <w:pPr>
        <w:jc w:val="center"/>
      </w:pPr>
      <w:r>
        <w:t>-      za energiju                                                                              176.095,86 €</w:t>
      </w:r>
    </w:p>
    <w:p w:rsidR="00E4472F" w:rsidRDefault="00000000">
      <w:pPr>
        <w:jc w:val="center"/>
      </w:pPr>
      <w:r>
        <w:t>-      za ostale materijale i reprodukcijski materijal                          113.232,29 €</w:t>
      </w:r>
    </w:p>
    <w:p w:rsidR="00E4472F" w:rsidRDefault="00000000">
      <w:pPr>
        <w:jc w:val="center"/>
      </w:pPr>
      <w:r>
        <w:t>-      za proizvodne i neproizvodne usluge                                         786.643,31 €</w:t>
      </w:r>
    </w:p>
    <w:p w:rsidR="00E4472F" w:rsidRDefault="00000000">
      <w:pPr>
        <w:jc w:val="center"/>
      </w:pPr>
      <w:r>
        <w:t>-      za opremu                                                                               104.873,87 €</w:t>
      </w:r>
    </w:p>
    <w:p w:rsidR="00E4472F" w:rsidRDefault="00000000">
      <w:pPr>
        <w:jc w:val="center"/>
      </w:pPr>
      <w:r>
        <w:t>-      za usluge drugih zdravstvenih ustanova                                   106.882,33 €</w:t>
      </w:r>
    </w:p>
    <w:p w:rsidR="00E4472F" w:rsidRDefault="00000000">
      <w:pPr>
        <w:jc w:val="center"/>
      </w:pPr>
      <w:r>
        <w:t>       UKUPNO OBVEZE PREMA DOBAVLJAČIMA:                    17.343.858,02 € </w:t>
      </w:r>
    </w:p>
    <w:p w:rsidR="00E4472F" w:rsidRDefault="00000000" w:rsidP="008D2B18">
      <w:r>
        <w:t>Ostale obveze iznose kako slijedi:</w:t>
      </w:r>
    </w:p>
    <w:p w:rsidR="00E4472F" w:rsidRDefault="00000000">
      <w:pPr>
        <w:jc w:val="center"/>
      </w:pPr>
      <w:r>
        <w:t>-      obveze prema zaposlenicima                                                6.010.852,76 €</w:t>
      </w:r>
    </w:p>
    <w:p w:rsidR="00E4472F" w:rsidRDefault="00000000">
      <w:pPr>
        <w:jc w:val="center"/>
      </w:pPr>
      <w:r>
        <w:t>-      obveze za zakonske zatezne kamate                                        449.228,04 € </w:t>
      </w:r>
    </w:p>
    <w:p w:rsidR="00E4472F" w:rsidRDefault="00000000">
      <w:pPr>
        <w:jc w:val="center"/>
      </w:pPr>
      <w:r>
        <w:t>-      obveze za predujmove za bolničko liječenje                              28.319,79 €</w:t>
      </w:r>
    </w:p>
    <w:p w:rsidR="00E4472F" w:rsidRDefault="008D2B18">
      <w:pPr>
        <w:jc w:val="center"/>
      </w:pPr>
      <w:r>
        <w:t xml:space="preserve"> </w:t>
      </w:r>
      <w:r w:rsidR="00000000">
        <w:t xml:space="preserve">  -      obveze za depozite i jamčevine                                             226.601,29 €  </w:t>
      </w:r>
    </w:p>
    <w:p w:rsidR="00E4472F" w:rsidRDefault="00000000">
      <w:pPr>
        <w:jc w:val="center"/>
      </w:pPr>
      <w:r>
        <w:t>-      ostale nespomenute obveze                                                       21.342,10 €</w:t>
      </w:r>
    </w:p>
    <w:p w:rsidR="00E4472F" w:rsidRDefault="00000000">
      <w:pPr>
        <w:jc w:val="center"/>
      </w:pPr>
      <w:r>
        <w:t>-      obveze za EU predujmove                                                       153.516,93 €</w:t>
      </w:r>
    </w:p>
    <w:p w:rsidR="00E4472F" w:rsidRDefault="00000000">
      <w:pPr>
        <w:jc w:val="center"/>
      </w:pPr>
      <w:r>
        <w:t>-      obveze prema HZZO za manje izvršeni rad                        34.540.935,28 €</w:t>
      </w:r>
    </w:p>
    <w:p w:rsidR="00E4472F" w:rsidRDefault="00000000">
      <w:pPr>
        <w:jc w:val="center"/>
      </w:pPr>
      <w:r>
        <w:t>       Ukupno ostale obveze                                                          41.430.796,19 €</w:t>
      </w:r>
    </w:p>
    <w:p w:rsidR="00E4472F" w:rsidRDefault="00000000">
      <w:pPr>
        <w:jc w:val="center"/>
      </w:pPr>
      <w:r>
        <w:t> </w:t>
      </w:r>
    </w:p>
    <w:p w:rsidR="00E4472F" w:rsidRDefault="00000000">
      <w:pPr>
        <w:jc w:val="center"/>
      </w:pPr>
      <w:r>
        <w:lastRenderedPageBreak/>
        <w:t>SVEUKUPNE OBVEZE:                                                        58.774.654,21 €</w:t>
      </w:r>
      <w:r>
        <w:br/>
        <w:t> </w:t>
      </w:r>
    </w:p>
    <w:p w:rsidR="00E4472F" w:rsidRDefault="00000000" w:rsidP="008D2B18">
      <w:pPr>
        <w:jc w:val="both"/>
      </w:pPr>
      <w:r>
        <w:t> </w:t>
      </w:r>
    </w:p>
    <w:p w:rsidR="00E4472F" w:rsidRDefault="00000000">
      <w:pPr>
        <w:keepNext/>
        <w:spacing w:line="240" w:lineRule="auto"/>
        <w:jc w:val="center"/>
      </w:pPr>
      <w:r>
        <w:rPr>
          <w:sz w:val="28"/>
        </w:rPr>
        <w:t>Bilješka 161.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883"/>
        <w:gridCol w:w="4008"/>
        <w:gridCol w:w="882"/>
        <w:gridCol w:w="2345"/>
        <w:gridCol w:w="882"/>
      </w:tblGrid>
      <w:tr w:rsidR="00E4472F">
        <w:tblPrEx>
          <w:tblCellMar>
            <w:top w:w="0" w:type="dxa"/>
            <w:bottom w:w="0" w:type="dxa"/>
          </w:tblCellMar>
        </w:tblPrEx>
        <w:trPr>
          <w:cantSplit/>
        </w:trPr>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rsidR="00E4472F" w:rsidRDefault="00000000">
            <w:pPr>
              <w:keepNext/>
              <w:keepLines/>
              <w:spacing w:after="0" w:line="240" w:lineRule="auto"/>
              <w:jc w:val="center"/>
            </w:pPr>
            <w:r>
              <w:rPr>
                <w:b/>
                <w:sz w:val="18"/>
              </w:rPr>
              <w:t>Indeks (%)</w:t>
            </w:r>
          </w:p>
        </w:tc>
      </w:tr>
      <w:tr w:rsidR="00E4472F">
        <w:tblPrEx>
          <w:tblCellMar>
            <w:top w:w="0" w:type="dxa"/>
            <w:bottom w:w="0" w:type="dxa"/>
          </w:tblCellMar>
        </w:tblPrEx>
        <w:trPr>
          <w:cantSplit/>
          <w:trHeight w:val="560"/>
        </w:trPr>
        <w:tc>
          <w:tcPr>
            <w:tcW w:w="700" w:type="dxa"/>
            <w:tcMar>
              <w:top w:w="0" w:type="dxa"/>
              <w:bottom w:w="0" w:type="dxa"/>
            </w:tcMar>
            <w:vAlign w:val="center"/>
          </w:tcPr>
          <w:p w:rsidR="00E4472F" w:rsidRDefault="00E4472F">
            <w:pPr>
              <w:keepNext/>
              <w:keepLines/>
              <w:spacing w:after="0" w:line="240" w:lineRule="auto"/>
            </w:pPr>
          </w:p>
        </w:tc>
        <w:tc>
          <w:tcPr>
            <w:tcW w:w="3180" w:type="dxa"/>
            <w:tcMar>
              <w:top w:w="0" w:type="dxa"/>
              <w:bottom w:w="0" w:type="dxa"/>
            </w:tcMar>
            <w:vAlign w:val="center"/>
          </w:tcPr>
          <w:p w:rsidR="00E4472F" w:rsidRDefault="00000000">
            <w:pPr>
              <w:keepNext/>
              <w:keepLines/>
              <w:spacing w:after="0" w:line="240" w:lineRule="auto"/>
            </w:pPr>
            <w:r>
              <w:rPr>
                <w:sz w:val="18"/>
              </w:rPr>
              <w:t>Stanje dospjelih obveza na kraju izvještajnog razdoblja (šifre V008+D23+D24 + 'D dio 25,26' + D27)</w:t>
            </w:r>
          </w:p>
        </w:tc>
        <w:tc>
          <w:tcPr>
            <w:tcW w:w="700" w:type="dxa"/>
            <w:tcMar>
              <w:top w:w="0" w:type="dxa"/>
              <w:bottom w:w="0" w:type="dxa"/>
            </w:tcMar>
            <w:vAlign w:val="center"/>
          </w:tcPr>
          <w:p w:rsidR="00E4472F" w:rsidRDefault="00000000">
            <w:pPr>
              <w:keepNext/>
              <w:keepLines/>
              <w:spacing w:after="0" w:line="240" w:lineRule="auto"/>
            </w:pPr>
            <w:r>
              <w:rPr>
                <w:sz w:val="18"/>
              </w:rPr>
              <w:t>V007</w:t>
            </w:r>
          </w:p>
        </w:tc>
        <w:tc>
          <w:tcPr>
            <w:tcW w:w="1860" w:type="dxa"/>
            <w:tcMar>
              <w:top w:w="0" w:type="dxa"/>
              <w:bottom w:w="0" w:type="dxa"/>
            </w:tcMar>
            <w:vAlign w:val="center"/>
          </w:tcPr>
          <w:p w:rsidR="00E4472F" w:rsidRDefault="00000000">
            <w:pPr>
              <w:keepNext/>
              <w:keepLines/>
              <w:spacing w:after="0" w:line="240" w:lineRule="auto"/>
              <w:jc w:val="right"/>
            </w:pPr>
            <w:r>
              <w:rPr>
                <w:sz w:val="18"/>
              </w:rPr>
              <w:t>11.024.726,35</w:t>
            </w:r>
          </w:p>
        </w:tc>
        <w:tc>
          <w:tcPr>
            <w:tcW w:w="700" w:type="dxa"/>
            <w:tcMar>
              <w:top w:w="0" w:type="dxa"/>
              <w:bottom w:w="0" w:type="dxa"/>
            </w:tcMar>
            <w:vAlign w:val="center"/>
          </w:tcPr>
          <w:p w:rsidR="00E4472F" w:rsidRDefault="00000000">
            <w:pPr>
              <w:keepNext/>
              <w:keepLines/>
              <w:spacing w:after="0" w:line="240" w:lineRule="auto"/>
              <w:jc w:val="right"/>
            </w:pPr>
            <w:r>
              <w:rPr>
                <w:sz w:val="18"/>
              </w:rPr>
              <w:t>-</w:t>
            </w:r>
          </w:p>
        </w:tc>
      </w:tr>
    </w:tbl>
    <w:p w:rsidR="00E4472F" w:rsidRDefault="00E4472F">
      <w:pPr>
        <w:spacing w:after="0"/>
      </w:pPr>
    </w:p>
    <w:p w:rsidR="00E4472F" w:rsidRDefault="00000000">
      <w:pPr>
        <w:jc w:val="both"/>
      </w:pPr>
      <w:r>
        <w:t>Na kraju izvještajnog razdoblja dospjele obveze su iznosile 11.024.726,35 eura, od čega se najznačajniji dio od 10.814.786,35 eura odnosi na dospjele obveze prema dobavljačima lijekova i potrošnog medicinskog materijala.</w:t>
      </w:r>
    </w:p>
    <w:p w:rsidR="00E4472F" w:rsidRDefault="00000000">
      <w:pPr>
        <w:jc w:val="both"/>
      </w:pPr>
      <w:r>
        <w:t>U razdoblju od 1. siječnja do 31. prosinca 2025. godine rashodi za zaposlene iznosili su 73.411.852,31 eura, što predstavlja povećanje od 13,5 % u odnosu na 2024. godinu, kada su iznosili 64.663.459,47 eura. U istom razdoblju prihodi od HZZO-a na temelju ugovornih obveza (osnovni limit) iznosili su 89.504.337,83 eura, pri čemu rashodi za zaposlene čine oko 82 % osnovnog limita HZZO-a.</w:t>
      </w:r>
    </w:p>
    <w:p w:rsidR="00E4472F" w:rsidRDefault="00000000">
      <w:pPr>
        <w:jc w:val="both"/>
      </w:pPr>
      <w:r>
        <w:t>S obzirom na takvu strukturu financiranja, nakon isplate plaća raspoloživi dio osnovnog limita nije dostatan za podmirenje ostalih redovnih rashoda poslovanja, uključujući rashode za lijekove, potrošni i ugradbeni medicinski materijal te ostale ulazne troškove, što je u 2025. godini rezultiralo smanjenom likvidnošću Bolnice i rastom dospjelih obveza prema dobavljačima.</w:t>
      </w:r>
    </w:p>
    <w:p w:rsidR="00E4472F" w:rsidRDefault="00000000">
      <w:pPr>
        <w:jc w:val="both"/>
      </w:pPr>
      <w:r>
        <w:t>Smanjena likvidnost Bolnice u 2025. godini proizlazi iz činjenice da značajan dio osnovnog limita HZZO-a biva utrošen na rashode za zaposlene, čime se nakon isplate plaća raspolaže ograničenim iznosom sredstava za podmirenje ostalih dospjelih obveza. Takva struktura financiranja, u kojoj rashodi za zaposlene čine pretežiti dio osnovnog limita, karakteristična je i za druge bolničke zdravstvene ustanove u Republici Hrvatskoj te predstavlja sustavni izazov u održavanju likvidnosti, osobito u uvjetima rasta cijena lijekova, potrošnog medicinskog materijala i ostalih inputa.</w:t>
      </w:r>
    </w:p>
    <w:p w:rsidR="00E4472F" w:rsidRDefault="00000000">
      <w:pPr>
        <w:jc w:val="both"/>
      </w:pPr>
      <w:r>
        <w:t>Nadalje, rast potraživanja uz istodobno ograničenu naplatu imao je negativan učinak na likvidnost Bolnice i doprinio rastu dospjelih obveza prema dobavljačima. Potraživanja za prihode poslovanja na dan 31. prosinca 2025. godine iznosila su 7.494.595,74 eura, dok su na dan 31. prosinca 2024. godine iznosila 3.264.786,33 eura, što predstavlja povećanje od 129,6 %. Najznačajniji rast zabilježen je na podskupinama 165 Potraživanja za upravne i administrativne pristojbe, pristojbe po posebnim propisima i naknade te 167 Potraživanja za prihode od HZZO-a na temelju ugovornih obveza, pri čemu su potraživanja od HZZO-a porasla uslijed povećanog obujma pruženih zdravstvenih usluga i vremenskog odmaka između izvršenja usluga i njihove naplate, osobito u završnom dijelu izvještajne godine.</w:t>
      </w:r>
    </w:p>
    <w:p w:rsidR="00E4472F" w:rsidRDefault="00000000">
      <w:pPr>
        <w:jc w:val="both"/>
      </w:pPr>
      <w:r>
        <w:t xml:space="preserve">Rast potraživanja za prihode poslovanja imao je izravan utjecaj na likvidnost Bolnice, budući da se značajan dio ostvarenih prihoda na kraju godine nalazio u obliku nenaplaćenih </w:t>
      </w:r>
      <w:r>
        <w:lastRenderedPageBreak/>
        <w:t>potraživanja, što je dodatno ograničilo raspoloživa novčana sredstva za podmirenje dospjelih obveza.</w:t>
      </w:r>
    </w:p>
    <w:p w:rsidR="00E4472F" w:rsidRDefault="00000000">
      <w:pPr>
        <w:jc w:val="both"/>
      </w:pPr>
      <w:r>
        <w:t>Budući da rast rashoda za zaposlene u 2025. godini nije bio praćen razmjernim povećanjem dodijeljenog osnovnog limita HZZO-a, niti dovoljnim povećanjem vrijednosti DTS-a i DTP-a, na temelju kojih se formira cijena zdravstvene usluge i podmiruje dodijeljeni predujam, Bolnica nije uspjela financijski zatvoriti povećani obujam pruženih zdravstvenih usluga.</w:t>
      </w:r>
    </w:p>
    <w:p w:rsidR="00E4472F" w:rsidRDefault="00E4472F"/>
    <w:sectPr w:rsidR="00E4472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72F"/>
    <w:rsid w:val="008D2B18"/>
    <w:rsid w:val="0093133B"/>
    <w:rsid w:val="00E4472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B3B4"/>
  <w15:docId w15:val="{DDC7D126-BB92-4FF4-9E6C-BCA995586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hr-HR" w:eastAsia="hr-H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59</Pages>
  <Words>17902</Words>
  <Characters>102044</Characters>
  <Application>Microsoft Office Word</Application>
  <DocSecurity>0</DocSecurity>
  <Lines>850</Lines>
  <Paragraphs>239</Paragraphs>
  <ScaleCrop>false</ScaleCrop>
  <Company/>
  <LinksUpToDate>false</LinksUpToDate>
  <CharactersWithSpaces>119707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 Peko</dc:creator>
  <cp:lastModifiedBy>Tea Peko</cp:lastModifiedBy>
  <cp:revision>2</cp:revision>
  <dcterms:created xsi:type="dcterms:W3CDTF">2026-02-02T14:14:00Z</dcterms:created>
  <dcterms:modified xsi:type="dcterms:W3CDTF">2026-02-02T14:14:00Z</dcterms:modified>
</cp:coreProperties>
</file>